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2DEF2" w14:textId="586EE8CC" w:rsidR="00E1014A" w:rsidRPr="009358F6" w:rsidRDefault="00505B11" w:rsidP="00505B11">
      <w:pPr>
        <w:jc w:val="center"/>
        <w:rPr>
          <w:b/>
          <w:color w:val="000000" w:themeColor="text1"/>
          <w:sz w:val="32"/>
          <w:szCs w:val="32"/>
        </w:rPr>
      </w:pPr>
      <w:r w:rsidRPr="009358F6">
        <w:rPr>
          <w:b/>
          <w:color w:val="000000" w:themeColor="text1"/>
          <w:sz w:val="32"/>
          <w:szCs w:val="32"/>
        </w:rPr>
        <w:t>NORMALISATION NEWS n° 1</w:t>
      </w:r>
      <w:r w:rsidR="00CF2E9D">
        <w:rPr>
          <w:b/>
          <w:color w:val="000000" w:themeColor="text1"/>
          <w:sz w:val="32"/>
          <w:szCs w:val="32"/>
        </w:rPr>
        <w:t>6</w:t>
      </w:r>
      <w:r w:rsidRPr="009358F6">
        <w:rPr>
          <w:b/>
          <w:color w:val="000000" w:themeColor="text1"/>
          <w:sz w:val="32"/>
          <w:szCs w:val="32"/>
        </w:rPr>
        <w:t xml:space="preserve"> – </w:t>
      </w:r>
      <w:r w:rsidR="00930B4D">
        <w:rPr>
          <w:b/>
          <w:color w:val="000000" w:themeColor="text1"/>
          <w:sz w:val="32"/>
          <w:szCs w:val="32"/>
        </w:rPr>
        <w:t>Mars</w:t>
      </w:r>
      <w:r w:rsidR="00CF2E9D">
        <w:rPr>
          <w:b/>
          <w:color w:val="000000" w:themeColor="text1"/>
          <w:sz w:val="32"/>
          <w:szCs w:val="32"/>
        </w:rPr>
        <w:t xml:space="preserve"> 2017</w:t>
      </w:r>
    </w:p>
    <w:p w14:paraId="098FD0B8" w14:textId="77777777" w:rsidR="00505B11" w:rsidRDefault="00505B11" w:rsidP="00505B11">
      <w:pPr>
        <w:jc w:val="center"/>
        <w:rPr>
          <w:color w:val="000000" w:themeColor="text1"/>
          <w:sz w:val="32"/>
          <w:szCs w:val="32"/>
        </w:rPr>
      </w:pPr>
    </w:p>
    <w:p w14:paraId="6D46DE69" w14:textId="77777777" w:rsidR="00505B11" w:rsidRDefault="00505B11" w:rsidP="00505B11">
      <w:pPr>
        <w:jc w:val="center"/>
        <w:rPr>
          <w:color w:val="000000" w:themeColor="text1"/>
          <w:sz w:val="32"/>
          <w:szCs w:val="32"/>
        </w:rPr>
      </w:pPr>
    </w:p>
    <w:p w14:paraId="52CF4B7E" w14:textId="77777777" w:rsidR="00505B11" w:rsidRPr="00505B11" w:rsidRDefault="00505B11" w:rsidP="00505B11">
      <w:pPr>
        <w:rPr>
          <w:b/>
          <w:color w:val="000000" w:themeColor="text1"/>
        </w:rPr>
      </w:pPr>
      <w:r w:rsidRPr="00505B11">
        <w:rPr>
          <w:b/>
          <w:color w:val="000000" w:themeColor="text1"/>
        </w:rPr>
        <w:t>Bulletin d’information à l’attention des membres de l’IAS (Institut International de l’Audit Social), de l’Académie de l’Ethique et de l’AGRH (Association Francophone de Gestion des Ressources Humaines)</w:t>
      </w:r>
    </w:p>
    <w:p w14:paraId="75900998" w14:textId="77777777" w:rsidR="00505B11" w:rsidRPr="00505B11" w:rsidRDefault="00505B11" w:rsidP="00505B11">
      <w:pPr>
        <w:rPr>
          <w:b/>
          <w:color w:val="000000" w:themeColor="text1"/>
        </w:rPr>
      </w:pPr>
    </w:p>
    <w:p w14:paraId="31CD10D8" w14:textId="77777777" w:rsidR="00505B11" w:rsidRDefault="00505B11" w:rsidP="00505B11">
      <w:pPr>
        <w:jc w:val="center"/>
        <w:rPr>
          <w:b/>
          <w:color w:val="000000" w:themeColor="text1"/>
        </w:rPr>
      </w:pPr>
      <w:r w:rsidRPr="00505B11">
        <w:rPr>
          <w:b/>
          <w:color w:val="000000" w:themeColor="text1"/>
        </w:rPr>
        <w:t>Sommaire</w:t>
      </w:r>
    </w:p>
    <w:p w14:paraId="230BF56E" w14:textId="77777777" w:rsidR="00505B11" w:rsidRDefault="00505B11" w:rsidP="00505B11">
      <w:pPr>
        <w:jc w:val="center"/>
        <w:rPr>
          <w:b/>
          <w:color w:val="000000" w:themeColor="text1"/>
        </w:rPr>
      </w:pPr>
    </w:p>
    <w:p w14:paraId="1CD330F7" w14:textId="50CC98AE" w:rsidR="00505B11" w:rsidRPr="006A44EC" w:rsidRDefault="00505B11" w:rsidP="006A44EC">
      <w:pPr>
        <w:jc w:val="both"/>
        <w:rPr>
          <w:color w:val="000000" w:themeColor="text1"/>
          <w:sz w:val="22"/>
          <w:szCs w:val="22"/>
        </w:rPr>
      </w:pPr>
      <w:r w:rsidRPr="006A44EC">
        <w:rPr>
          <w:color w:val="000000" w:themeColor="text1"/>
          <w:sz w:val="22"/>
          <w:szCs w:val="22"/>
        </w:rPr>
        <w:t>Les thèmes traités dans ce numéro 1</w:t>
      </w:r>
      <w:r w:rsidR="00EF11FE">
        <w:rPr>
          <w:color w:val="000000" w:themeColor="text1"/>
          <w:sz w:val="22"/>
          <w:szCs w:val="22"/>
        </w:rPr>
        <w:t>6</w:t>
      </w:r>
      <w:r w:rsidRPr="006A44EC">
        <w:rPr>
          <w:color w:val="000000" w:themeColor="text1"/>
          <w:sz w:val="22"/>
          <w:szCs w:val="22"/>
        </w:rPr>
        <w:t xml:space="preserve"> sont</w:t>
      </w:r>
      <w:r w:rsidR="006079B4">
        <w:rPr>
          <w:color w:val="000000" w:themeColor="text1"/>
          <w:sz w:val="22"/>
          <w:szCs w:val="22"/>
        </w:rPr>
        <w:t xml:space="preserve"> les travaux de normalisation </w:t>
      </w:r>
      <w:r w:rsidRPr="006A44EC">
        <w:rPr>
          <w:color w:val="000000" w:themeColor="text1"/>
          <w:sz w:val="22"/>
          <w:szCs w:val="22"/>
        </w:rPr>
        <w:t>:</w:t>
      </w:r>
    </w:p>
    <w:p w14:paraId="6D0A2974" w14:textId="77777777" w:rsidR="00505B11" w:rsidRPr="006A44EC" w:rsidRDefault="00505B11" w:rsidP="006A44EC">
      <w:pPr>
        <w:jc w:val="both"/>
        <w:rPr>
          <w:color w:val="000000" w:themeColor="text1"/>
          <w:sz w:val="22"/>
          <w:szCs w:val="22"/>
        </w:rPr>
      </w:pPr>
    </w:p>
    <w:p w14:paraId="39E52A0C" w14:textId="40953715" w:rsidR="00505B11" w:rsidRPr="006A44EC" w:rsidRDefault="00505B11" w:rsidP="006A44EC">
      <w:pPr>
        <w:pStyle w:val="Pardeliste"/>
        <w:numPr>
          <w:ilvl w:val="0"/>
          <w:numId w:val="2"/>
        </w:numPr>
        <w:jc w:val="both"/>
        <w:rPr>
          <w:color w:val="000000" w:themeColor="text1"/>
          <w:sz w:val="22"/>
          <w:szCs w:val="22"/>
        </w:rPr>
      </w:pPr>
      <w:r w:rsidRPr="006A44EC">
        <w:rPr>
          <w:color w:val="000000" w:themeColor="text1"/>
          <w:sz w:val="22"/>
          <w:szCs w:val="22"/>
        </w:rPr>
        <w:t>dans le domai</w:t>
      </w:r>
      <w:r w:rsidR="006A44EC" w:rsidRPr="006A44EC">
        <w:rPr>
          <w:color w:val="000000" w:themeColor="text1"/>
          <w:sz w:val="22"/>
          <w:szCs w:val="22"/>
        </w:rPr>
        <w:t xml:space="preserve">ne de la gestion des ressources </w:t>
      </w:r>
      <w:r w:rsidRPr="006A44EC">
        <w:rPr>
          <w:color w:val="000000" w:themeColor="text1"/>
          <w:sz w:val="22"/>
          <w:szCs w:val="22"/>
        </w:rPr>
        <w:t>humaines</w:t>
      </w:r>
      <w:r w:rsidR="009F0FAF">
        <w:rPr>
          <w:color w:val="000000" w:themeColor="text1"/>
          <w:sz w:val="22"/>
          <w:szCs w:val="22"/>
        </w:rPr>
        <w:t xml:space="preserve"> (pages 1 à 6)</w:t>
      </w:r>
    </w:p>
    <w:p w14:paraId="278ADF35" w14:textId="376F09D4" w:rsidR="00505B11" w:rsidRPr="006A44EC" w:rsidRDefault="00505B11" w:rsidP="006A44EC">
      <w:pPr>
        <w:pStyle w:val="Pardeliste"/>
        <w:numPr>
          <w:ilvl w:val="0"/>
          <w:numId w:val="2"/>
        </w:numPr>
        <w:jc w:val="both"/>
        <w:rPr>
          <w:color w:val="000000" w:themeColor="text1"/>
          <w:sz w:val="22"/>
          <w:szCs w:val="22"/>
        </w:rPr>
      </w:pPr>
      <w:r w:rsidRPr="006A44EC">
        <w:rPr>
          <w:color w:val="000000" w:themeColor="text1"/>
          <w:sz w:val="22"/>
          <w:szCs w:val="22"/>
        </w:rPr>
        <w:t>dans le domaine du développement durable et de la responsabilité sociétale</w:t>
      </w:r>
      <w:r w:rsidR="009F0FAF">
        <w:rPr>
          <w:color w:val="000000" w:themeColor="text1"/>
          <w:sz w:val="22"/>
          <w:szCs w:val="22"/>
        </w:rPr>
        <w:t xml:space="preserve"> (pages 7 à 9)</w:t>
      </w:r>
    </w:p>
    <w:p w14:paraId="15A1CDB9" w14:textId="39D8E4C1" w:rsidR="00505B11" w:rsidRPr="006A44EC" w:rsidRDefault="00505B11" w:rsidP="006A44EC">
      <w:pPr>
        <w:pStyle w:val="Pardeliste"/>
        <w:numPr>
          <w:ilvl w:val="0"/>
          <w:numId w:val="2"/>
        </w:numPr>
        <w:jc w:val="both"/>
        <w:rPr>
          <w:color w:val="000000" w:themeColor="text1"/>
          <w:sz w:val="22"/>
          <w:szCs w:val="22"/>
        </w:rPr>
      </w:pPr>
      <w:r w:rsidRPr="006A44EC">
        <w:rPr>
          <w:color w:val="000000" w:themeColor="text1"/>
          <w:sz w:val="22"/>
          <w:szCs w:val="22"/>
        </w:rPr>
        <w:t xml:space="preserve">dans les domaines connexes (anti-corruption, risque, compliance, qualité, audit, </w:t>
      </w:r>
      <w:r w:rsidR="00110DD1">
        <w:rPr>
          <w:color w:val="000000" w:themeColor="text1"/>
          <w:sz w:val="22"/>
          <w:szCs w:val="22"/>
        </w:rPr>
        <w:t xml:space="preserve">santé &amp; sécurité au travail, </w:t>
      </w:r>
      <w:r w:rsidRPr="006A44EC">
        <w:rPr>
          <w:color w:val="000000" w:themeColor="text1"/>
          <w:sz w:val="22"/>
          <w:szCs w:val="22"/>
        </w:rPr>
        <w:t xml:space="preserve">environnement, </w:t>
      </w:r>
      <w:r w:rsidR="00434DF2">
        <w:rPr>
          <w:color w:val="000000" w:themeColor="text1"/>
          <w:sz w:val="22"/>
          <w:szCs w:val="22"/>
        </w:rPr>
        <w:t>sûreté</w:t>
      </w:r>
      <w:r w:rsidR="009F0FAF">
        <w:rPr>
          <w:color w:val="000000" w:themeColor="text1"/>
          <w:sz w:val="22"/>
          <w:szCs w:val="22"/>
        </w:rPr>
        <w:t>…) (page 10).</w:t>
      </w:r>
    </w:p>
    <w:p w14:paraId="6ED98F63" w14:textId="77777777" w:rsidR="00032B57" w:rsidRPr="006A44EC" w:rsidRDefault="00032B57" w:rsidP="00032B57">
      <w:pPr>
        <w:rPr>
          <w:color w:val="000000" w:themeColor="text1"/>
          <w:sz w:val="22"/>
          <w:szCs w:val="22"/>
        </w:rPr>
      </w:pPr>
    </w:p>
    <w:p w14:paraId="2C181E5D" w14:textId="77777777" w:rsidR="004E3E88" w:rsidRDefault="004E3E88" w:rsidP="004E3E88">
      <w:pPr>
        <w:jc w:val="center"/>
        <w:rPr>
          <w:color w:val="000000" w:themeColor="text1"/>
        </w:rPr>
      </w:pPr>
      <w:r>
        <w:rPr>
          <w:color w:val="000000" w:themeColor="text1"/>
        </w:rPr>
        <w:t>---------------</w:t>
      </w:r>
    </w:p>
    <w:p w14:paraId="7B5DE109" w14:textId="77777777" w:rsidR="00505B11" w:rsidRDefault="00505B11" w:rsidP="00505B11">
      <w:pPr>
        <w:rPr>
          <w:color w:val="000000" w:themeColor="text1"/>
        </w:rPr>
      </w:pPr>
    </w:p>
    <w:p w14:paraId="5B8F0443" w14:textId="77777777" w:rsidR="00505B11" w:rsidRDefault="00505B11" w:rsidP="00505B11">
      <w:pPr>
        <w:rPr>
          <w:color w:val="000000" w:themeColor="text1"/>
        </w:rPr>
        <w:sectPr w:rsidR="00505B11" w:rsidSect="00E1014A">
          <w:footerReference w:type="even" r:id="rId8"/>
          <w:footerReference w:type="default" r:id="rId9"/>
          <w:pgSz w:w="11900" w:h="16840"/>
          <w:pgMar w:top="1417" w:right="1417" w:bottom="1417" w:left="1417" w:header="708" w:footer="708" w:gutter="0"/>
          <w:cols w:space="708"/>
          <w:docGrid w:linePitch="360"/>
        </w:sectPr>
      </w:pPr>
    </w:p>
    <w:p w14:paraId="18A3710F" w14:textId="77777777" w:rsidR="00505B11" w:rsidRPr="00CF2E9D" w:rsidRDefault="00505B11" w:rsidP="00CF2E9D">
      <w:pPr>
        <w:pBdr>
          <w:top w:val="single" w:sz="4" w:space="1" w:color="auto"/>
          <w:left w:val="single" w:sz="4" w:space="4" w:color="auto"/>
          <w:bottom w:val="single" w:sz="4" w:space="1" w:color="auto"/>
          <w:right w:val="single" w:sz="4" w:space="4" w:color="auto"/>
        </w:pBdr>
        <w:jc w:val="center"/>
        <w:rPr>
          <w:b/>
          <w:color w:val="000000" w:themeColor="text1"/>
          <w:sz w:val="28"/>
          <w:szCs w:val="28"/>
        </w:rPr>
      </w:pPr>
      <w:r w:rsidRPr="00CF2E9D">
        <w:rPr>
          <w:b/>
          <w:color w:val="000000" w:themeColor="text1"/>
          <w:sz w:val="28"/>
          <w:szCs w:val="28"/>
        </w:rPr>
        <w:lastRenderedPageBreak/>
        <w:t>Les travaux de normalisation dans le domaine de la GRH</w:t>
      </w:r>
    </w:p>
    <w:p w14:paraId="6584F5FA" w14:textId="77777777" w:rsidR="00CF2E9D" w:rsidRDefault="00CF2E9D" w:rsidP="00505B11">
      <w:pPr>
        <w:rPr>
          <w:color w:val="000000" w:themeColor="text1"/>
        </w:rPr>
      </w:pPr>
    </w:p>
    <w:p w14:paraId="00A3F96F" w14:textId="029E938B" w:rsidR="009D3A89" w:rsidRDefault="00B83AD9" w:rsidP="00505B11">
      <w:pPr>
        <w:rPr>
          <w:color w:val="000000" w:themeColor="text1"/>
        </w:rPr>
      </w:pPr>
      <w:r>
        <w:rPr>
          <w:color w:val="000000" w:themeColor="text1"/>
        </w:rPr>
        <w:t>La prise en compte de nouvea</w:t>
      </w:r>
      <w:r w:rsidR="00AD2DCE">
        <w:rPr>
          <w:color w:val="000000" w:themeColor="text1"/>
        </w:rPr>
        <w:t xml:space="preserve">ux thèmes de travail a conduit à la mise en place d’une nouvelle organisation </w:t>
      </w:r>
      <w:r w:rsidR="00814BFD">
        <w:rPr>
          <w:color w:val="000000" w:themeColor="text1"/>
        </w:rPr>
        <w:t>du comité techn</w:t>
      </w:r>
      <w:r w:rsidR="00E927CE">
        <w:rPr>
          <w:color w:val="000000" w:themeColor="text1"/>
        </w:rPr>
        <w:t>i</w:t>
      </w:r>
      <w:r w:rsidR="00814BFD">
        <w:rPr>
          <w:color w:val="000000" w:themeColor="text1"/>
        </w:rPr>
        <w:t xml:space="preserve">que </w:t>
      </w:r>
      <w:r w:rsidR="00E927CE">
        <w:rPr>
          <w:color w:val="000000" w:themeColor="text1"/>
        </w:rPr>
        <w:t>ISO/TC 260 en charge de l’élaboration des normes dans le domaine de la gestion des ressources humaines</w:t>
      </w:r>
      <w:r w:rsidR="009D3A89">
        <w:rPr>
          <w:color w:val="000000" w:themeColor="text1"/>
        </w:rPr>
        <w:t xml:space="preserve"> (</w:t>
      </w:r>
      <w:r w:rsidR="009D3A89" w:rsidRPr="00336D6B">
        <w:rPr>
          <w:color w:val="000000" w:themeColor="text1"/>
        </w:rPr>
        <w:t xml:space="preserve">voir schéma </w:t>
      </w:r>
      <w:r w:rsidR="00336D6B">
        <w:rPr>
          <w:color w:val="000000" w:themeColor="text1"/>
        </w:rPr>
        <w:t xml:space="preserve">en </w:t>
      </w:r>
      <w:r w:rsidR="009D3A89" w:rsidRPr="00336D6B">
        <w:rPr>
          <w:color w:val="000000" w:themeColor="text1"/>
        </w:rPr>
        <w:t>annexe 1</w:t>
      </w:r>
      <w:r w:rsidR="009D3A89">
        <w:rPr>
          <w:color w:val="000000" w:themeColor="text1"/>
        </w:rPr>
        <w:t>)</w:t>
      </w:r>
    </w:p>
    <w:p w14:paraId="4737E63F" w14:textId="77777777" w:rsidR="00F50296" w:rsidRDefault="00F50296" w:rsidP="00505B11">
      <w:pPr>
        <w:rPr>
          <w:color w:val="000000" w:themeColor="text1"/>
        </w:rPr>
      </w:pPr>
    </w:p>
    <w:p w14:paraId="08C46235" w14:textId="77777777" w:rsidR="00F50296" w:rsidRPr="00E66581" w:rsidRDefault="00F50296" w:rsidP="00F50296">
      <w:pPr>
        <w:jc w:val="center"/>
        <w:rPr>
          <w:color w:val="000000" w:themeColor="text1"/>
        </w:rPr>
      </w:pPr>
      <w:r w:rsidRPr="00E66581">
        <w:rPr>
          <w:color w:val="000000" w:themeColor="text1"/>
        </w:rPr>
        <w:t>---------------</w:t>
      </w:r>
    </w:p>
    <w:p w14:paraId="70F83403" w14:textId="77777777" w:rsidR="00F50296" w:rsidRPr="00E66581" w:rsidRDefault="00F50296" w:rsidP="00F50296">
      <w:pPr>
        <w:rPr>
          <w:color w:val="000000" w:themeColor="text1"/>
        </w:rPr>
      </w:pPr>
    </w:p>
    <w:p w14:paraId="1ECA9591" w14:textId="0D83B4DA" w:rsidR="00F50296" w:rsidRPr="00F50296" w:rsidRDefault="00F50296" w:rsidP="00F50296">
      <w:pPr>
        <w:pBdr>
          <w:top w:val="single" w:sz="4" w:space="1" w:color="auto"/>
          <w:left w:val="single" w:sz="4" w:space="4" w:color="auto"/>
          <w:bottom w:val="single" w:sz="4" w:space="1" w:color="auto"/>
          <w:right w:val="single" w:sz="4" w:space="4" w:color="auto"/>
        </w:pBdr>
        <w:rPr>
          <w:b/>
          <w:i/>
          <w:color w:val="000000" w:themeColor="text1"/>
        </w:rPr>
      </w:pPr>
      <w:r>
        <w:rPr>
          <w:b/>
          <w:i/>
          <w:color w:val="000000" w:themeColor="text1"/>
        </w:rPr>
        <w:t>ISO 10667</w:t>
      </w:r>
      <w:r w:rsidRPr="00E66581">
        <w:rPr>
          <w:b/>
          <w:i/>
          <w:color w:val="000000" w:themeColor="text1"/>
        </w:rPr>
        <w:t xml:space="preserve"> – </w:t>
      </w:r>
      <w:r>
        <w:rPr>
          <w:b/>
          <w:i/>
          <w:color w:val="000000" w:themeColor="text1"/>
        </w:rPr>
        <w:t>Livraison d’un service d’évaluation</w:t>
      </w:r>
      <w:r w:rsidRPr="00E66581">
        <w:rPr>
          <w:b/>
          <w:i/>
          <w:color w:val="000000" w:themeColor="text1"/>
        </w:rPr>
        <w:t xml:space="preserve"> </w:t>
      </w:r>
      <w:r>
        <w:rPr>
          <w:b/>
          <w:i/>
          <w:color w:val="000000" w:themeColor="text1"/>
        </w:rPr>
        <w:t>–</w:t>
      </w:r>
      <w:r w:rsidRPr="00E66581">
        <w:rPr>
          <w:b/>
          <w:i/>
          <w:color w:val="000000" w:themeColor="text1"/>
        </w:rPr>
        <w:t xml:space="preserve"> </w:t>
      </w:r>
      <w:r>
        <w:rPr>
          <w:b/>
          <w:i/>
          <w:color w:val="000000" w:themeColor="text1"/>
        </w:rPr>
        <w:t>Modes opératoires et méthodes d’évaluation des personnes au travail et des paramètres organisationnels</w:t>
      </w:r>
      <w:r>
        <w:rPr>
          <w:b/>
          <w:i/>
          <w:color w:val="000000" w:themeColor="text1"/>
        </w:rPr>
        <w:br/>
        <w:t xml:space="preserve">- partie 1 : Exigences pour le client </w:t>
      </w:r>
      <w:r>
        <w:rPr>
          <w:b/>
          <w:i/>
          <w:color w:val="000000" w:themeColor="text1"/>
        </w:rPr>
        <w:br/>
        <w:t>- partie 2 : Exigences pour les fournisseurs de services</w:t>
      </w:r>
    </w:p>
    <w:p w14:paraId="2A3DB669" w14:textId="77777777" w:rsidR="00F50296" w:rsidRPr="00E66581" w:rsidRDefault="00F50296" w:rsidP="00F50296">
      <w:pPr>
        <w:rPr>
          <w:color w:val="000000" w:themeColor="text1"/>
          <w:sz w:val="22"/>
          <w:szCs w:val="22"/>
        </w:rPr>
      </w:pPr>
    </w:p>
    <w:p w14:paraId="4688CA44" w14:textId="22818950" w:rsidR="00F50296" w:rsidRDefault="00930DA1" w:rsidP="00505B11">
      <w:pPr>
        <w:rPr>
          <w:color w:val="000000" w:themeColor="text1"/>
        </w:rPr>
      </w:pPr>
      <w:r>
        <w:rPr>
          <w:color w:val="000000" w:themeColor="text1"/>
        </w:rPr>
        <w:t>La révision systématique de c</w:t>
      </w:r>
      <w:r w:rsidR="00F50296">
        <w:rPr>
          <w:color w:val="000000" w:themeColor="text1"/>
        </w:rPr>
        <w:t>es deux normes (</w:t>
      </w:r>
      <w:r w:rsidR="006079B4">
        <w:rPr>
          <w:color w:val="000000" w:themeColor="text1"/>
        </w:rPr>
        <w:t>parues en</w:t>
      </w:r>
      <w:r>
        <w:rPr>
          <w:color w:val="000000" w:themeColor="text1"/>
        </w:rPr>
        <w:t xml:space="preserve"> 2011</w:t>
      </w:r>
      <w:r w:rsidR="00F50296">
        <w:rPr>
          <w:color w:val="000000" w:themeColor="text1"/>
        </w:rPr>
        <w:t>, non traduite</w:t>
      </w:r>
      <w:r w:rsidR="00EC1AE8">
        <w:rPr>
          <w:color w:val="000000" w:themeColor="text1"/>
        </w:rPr>
        <w:t>s</w:t>
      </w:r>
      <w:r>
        <w:rPr>
          <w:color w:val="000000" w:themeColor="text1"/>
        </w:rPr>
        <w:t xml:space="preserve"> en français) vie</w:t>
      </w:r>
      <w:r w:rsidR="00F50296">
        <w:rPr>
          <w:color w:val="000000" w:themeColor="text1"/>
        </w:rPr>
        <w:t xml:space="preserve">nt d’être </w:t>
      </w:r>
      <w:r>
        <w:rPr>
          <w:color w:val="000000" w:themeColor="text1"/>
        </w:rPr>
        <w:t>confiée</w:t>
      </w:r>
      <w:r w:rsidR="00F50296">
        <w:rPr>
          <w:color w:val="000000" w:themeColor="text1"/>
        </w:rPr>
        <w:t xml:space="preserve"> au TC 260. </w:t>
      </w:r>
    </w:p>
    <w:p w14:paraId="7EBCD742" w14:textId="77777777" w:rsidR="00EC1AE8" w:rsidRDefault="00EC1AE8" w:rsidP="00505B11">
      <w:pPr>
        <w:rPr>
          <w:color w:val="000000" w:themeColor="text1"/>
        </w:rPr>
      </w:pPr>
    </w:p>
    <w:p w14:paraId="2D9AEB06" w14:textId="2623B662" w:rsidR="00EC1AE8" w:rsidRDefault="00EC1AE8" w:rsidP="00505B11">
      <w:pPr>
        <w:rPr>
          <w:color w:val="000000" w:themeColor="text1"/>
        </w:rPr>
      </w:pPr>
      <w:r>
        <w:rPr>
          <w:color w:val="000000" w:themeColor="text1"/>
        </w:rPr>
        <w:lastRenderedPageBreak/>
        <w:t>Elles concernent plus partic</w:t>
      </w:r>
      <w:r w:rsidR="00D62CAC">
        <w:rPr>
          <w:color w:val="000000" w:themeColor="text1"/>
        </w:rPr>
        <w:t>ulièrement les tests psycho</w:t>
      </w:r>
      <w:r>
        <w:rPr>
          <w:color w:val="000000" w:themeColor="text1"/>
        </w:rPr>
        <w:t xml:space="preserve">logiques (exemple : </w:t>
      </w:r>
      <w:r w:rsidR="00D62CAC">
        <w:rPr>
          <w:color w:val="000000" w:themeColor="text1"/>
        </w:rPr>
        <w:t xml:space="preserve">tests de </w:t>
      </w:r>
      <w:r>
        <w:rPr>
          <w:color w:val="000000" w:themeColor="text1"/>
        </w:rPr>
        <w:t xml:space="preserve">recrutement).  </w:t>
      </w:r>
    </w:p>
    <w:p w14:paraId="38039178" w14:textId="77777777" w:rsidR="00F50296" w:rsidRDefault="00F50296" w:rsidP="00505B11">
      <w:pPr>
        <w:rPr>
          <w:color w:val="000000" w:themeColor="text1"/>
        </w:rPr>
      </w:pPr>
    </w:p>
    <w:p w14:paraId="7BF08294" w14:textId="2451CCBD" w:rsidR="00F50296" w:rsidRDefault="00930DA1" w:rsidP="00505B11">
      <w:pPr>
        <w:rPr>
          <w:color w:val="000000" w:themeColor="text1"/>
        </w:rPr>
      </w:pPr>
      <w:r>
        <w:rPr>
          <w:color w:val="000000" w:themeColor="text1"/>
        </w:rPr>
        <w:t xml:space="preserve">Ces deux normes devraient être confirmées sans modifications techniques. </w:t>
      </w:r>
      <w:r w:rsidR="006079B4">
        <w:rPr>
          <w:color w:val="000000" w:themeColor="text1"/>
        </w:rPr>
        <w:t>L’examen systématique</w:t>
      </w:r>
      <w:r w:rsidR="004F178C">
        <w:rPr>
          <w:color w:val="000000" w:themeColor="text1"/>
        </w:rPr>
        <w:t xml:space="preserve"> </w:t>
      </w:r>
      <w:r w:rsidR="00EC1AE8">
        <w:rPr>
          <w:color w:val="000000" w:themeColor="text1"/>
        </w:rPr>
        <w:t xml:space="preserve">est en cours. </w:t>
      </w:r>
    </w:p>
    <w:p w14:paraId="1C8BA034" w14:textId="77777777" w:rsidR="00F50296" w:rsidRDefault="00F50296" w:rsidP="00505B11">
      <w:pPr>
        <w:rPr>
          <w:color w:val="000000" w:themeColor="text1"/>
        </w:rPr>
      </w:pPr>
    </w:p>
    <w:p w14:paraId="4A152EA3" w14:textId="77777777" w:rsidR="00F50296" w:rsidRPr="00E66581" w:rsidRDefault="00F50296" w:rsidP="00F50296">
      <w:pPr>
        <w:jc w:val="center"/>
        <w:rPr>
          <w:color w:val="000000" w:themeColor="text1"/>
        </w:rPr>
      </w:pPr>
      <w:r w:rsidRPr="00E66581">
        <w:rPr>
          <w:color w:val="000000" w:themeColor="text1"/>
        </w:rPr>
        <w:t>---------------</w:t>
      </w:r>
    </w:p>
    <w:p w14:paraId="634C9667" w14:textId="5B328E89" w:rsidR="00B83AD9" w:rsidRDefault="00B83AD9" w:rsidP="00505B11">
      <w:pPr>
        <w:rPr>
          <w:color w:val="000000" w:themeColor="text1"/>
        </w:rPr>
      </w:pPr>
    </w:p>
    <w:p w14:paraId="7B811CC1" w14:textId="5B386EE9" w:rsidR="00505B11" w:rsidRPr="003C3F84" w:rsidRDefault="00505B11" w:rsidP="008B69B6">
      <w:pPr>
        <w:pBdr>
          <w:top w:val="single" w:sz="4" w:space="1" w:color="auto"/>
          <w:left w:val="single" w:sz="4" w:space="4" w:color="auto"/>
          <w:bottom w:val="single" w:sz="4" w:space="1" w:color="auto"/>
          <w:right w:val="single" w:sz="4" w:space="4" w:color="auto"/>
        </w:pBdr>
        <w:rPr>
          <w:b/>
          <w:i/>
          <w:color w:val="000000" w:themeColor="text1"/>
        </w:rPr>
      </w:pPr>
      <w:r w:rsidRPr="003C3F84">
        <w:rPr>
          <w:b/>
          <w:i/>
          <w:color w:val="000000" w:themeColor="text1"/>
        </w:rPr>
        <w:t>ISO 30400 – Management des ressources humaines – Terminologie</w:t>
      </w:r>
    </w:p>
    <w:p w14:paraId="23392488" w14:textId="77777777" w:rsidR="00505B11" w:rsidRPr="003C3F84" w:rsidRDefault="00505B11" w:rsidP="00505B11">
      <w:pPr>
        <w:rPr>
          <w:color w:val="000000" w:themeColor="text1"/>
        </w:rPr>
      </w:pPr>
    </w:p>
    <w:p w14:paraId="04FC2A05" w14:textId="1469AB72" w:rsidR="008B69B6" w:rsidRDefault="00CF2E9D" w:rsidP="00963110">
      <w:pPr>
        <w:jc w:val="both"/>
        <w:rPr>
          <w:color w:val="000000" w:themeColor="text1"/>
          <w:sz w:val="22"/>
          <w:szCs w:val="22"/>
        </w:rPr>
      </w:pPr>
      <w:r w:rsidRPr="003C3F84">
        <w:rPr>
          <w:color w:val="000000" w:themeColor="text1"/>
          <w:sz w:val="22"/>
          <w:szCs w:val="22"/>
        </w:rPr>
        <w:t>La norme ISO 30400 a été publiée en septembre 2016</w:t>
      </w:r>
      <w:r w:rsidR="008B69B6" w:rsidRPr="003C3F84">
        <w:rPr>
          <w:color w:val="000000" w:themeColor="text1"/>
          <w:sz w:val="22"/>
          <w:szCs w:val="22"/>
        </w:rPr>
        <w:t>.</w:t>
      </w:r>
    </w:p>
    <w:p w14:paraId="140DCF4C" w14:textId="77777777" w:rsidR="00A42BA5" w:rsidRDefault="00A42BA5" w:rsidP="00963110">
      <w:pPr>
        <w:jc w:val="both"/>
        <w:rPr>
          <w:color w:val="000000" w:themeColor="text1"/>
          <w:sz w:val="22"/>
          <w:szCs w:val="22"/>
        </w:rPr>
      </w:pPr>
    </w:p>
    <w:p w14:paraId="39343C0F" w14:textId="1EF87C7F" w:rsidR="00A42BA5" w:rsidRDefault="00A42BA5" w:rsidP="00A42BA5">
      <w:r>
        <w:t xml:space="preserve">Le sommaire de cette norme est le suivant : </w:t>
      </w:r>
    </w:p>
    <w:p w14:paraId="23F0CE70" w14:textId="20265C08" w:rsidR="00A42BA5" w:rsidRDefault="00A42BA5" w:rsidP="00A42BA5">
      <w:pPr>
        <w:pStyle w:val="Pardeliste"/>
        <w:numPr>
          <w:ilvl w:val="0"/>
          <w:numId w:val="14"/>
        </w:numPr>
      </w:pPr>
      <w:r>
        <w:t>Avant-propos</w:t>
      </w:r>
    </w:p>
    <w:p w14:paraId="682C60FF" w14:textId="36334A4C" w:rsidR="00A42BA5" w:rsidRDefault="00A42BA5" w:rsidP="00A42BA5">
      <w:pPr>
        <w:pStyle w:val="Pardeliste"/>
        <w:numPr>
          <w:ilvl w:val="0"/>
          <w:numId w:val="14"/>
        </w:numPr>
      </w:pPr>
      <w:r>
        <w:t xml:space="preserve">Introduction </w:t>
      </w:r>
    </w:p>
    <w:p w14:paraId="09920D54" w14:textId="23BDEC8E" w:rsidR="00A42BA5" w:rsidRDefault="0069378C" w:rsidP="00A42BA5">
      <w:pPr>
        <w:pStyle w:val="Pardeliste"/>
        <w:numPr>
          <w:ilvl w:val="0"/>
          <w:numId w:val="14"/>
        </w:numPr>
      </w:pPr>
      <w:r>
        <w:t xml:space="preserve">§ </w:t>
      </w:r>
      <w:r w:rsidR="00A42BA5">
        <w:t xml:space="preserve">1 – Domaine d’application </w:t>
      </w:r>
    </w:p>
    <w:p w14:paraId="4315F834" w14:textId="4828B87C" w:rsidR="00A42BA5" w:rsidRDefault="0069378C" w:rsidP="00A42BA5">
      <w:pPr>
        <w:pStyle w:val="Pardeliste"/>
        <w:numPr>
          <w:ilvl w:val="0"/>
          <w:numId w:val="14"/>
        </w:numPr>
      </w:pPr>
      <w:r>
        <w:t xml:space="preserve">§ </w:t>
      </w:r>
      <w:r w:rsidR="00A42BA5">
        <w:t xml:space="preserve">2 – Références normatives </w:t>
      </w:r>
    </w:p>
    <w:p w14:paraId="6C38DC0C" w14:textId="5D3A5007" w:rsidR="00A42BA5" w:rsidRDefault="0069378C" w:rsidP="00A42BA5">
      <w:pPr>
        <w:pStyle w:val="Pardeliste"/>
        <w:numPr>
          <w:ilvl w:val="0"/>
          <w:numId w:val="14"/>
        </w:numPr>
      </w:pPr>
      <w:r>
        <w:t xml:space="preserve">§ </w:t>
      </w:r>
      <w:r w:rsidR="00A42BA5">
        <w:t>3 – Termes relatifs à l’organisation</w:t>
      </w:r>
      <w:r w:rsidR="00A42BA5">
        <w:br/>
        <w:t xml:space="preserve">17 termes sont précisés  </w:t>
      </w:r>
    </w:p>
    <w:p w14:paraId="5C5E9D5C" w14:textId="211CF45C" w:rsidR="00A42BA5" w:rsidRDefault="0069378C" w:rsidP="00A42BA5">
      <w:pPr>
        <w:pStyle w:val="Pardeliste"/>
        <w:numPr>
          <w:ilvl w:val="0"/>
          <w:numId w:val="14"/>
        </w:numPr>
      </w:pPr>
      <w:r>
        <w:t xml:space="preserve">§ </w:t>
      </w:r>
      <w:r w:rsidR="00A42BA5">
        <w:t xml:space="preserve">4 – Termes relatifs aux ressources humaines et à la planification </w:t>
      </w:r>
      <w:r w:rsidR="00A42BA5">
        <w:br/>
        <w:t xml:space="preserve">14 termes sont définis, dont le </w:t>
      </w:r>
      <w:r w:rsidR="00A42BA5">
        <w:lastRenderedPageBreak/>
        <w:t>terme gestion des ressources humaines (GRH) défini comme le « </w:t>
      </w:r>
      <w:r w:rsidR="00A42BA5" w:rsidRPr="00D53865">
        <w:rPr>
          <w:i/>
        </w:rPr>
        <w:t>management des personnes dans les organisations </w:t>
      </w:r>
      <w:r w:rsidR="00A42BA5">
        <w:t>» (cf. § 4.6).</w:t>
      </w:r>
      <w:r w:rsidR="00A42BA5">
        <w:br/>
        <w:t>Une note 1 précise que : « </w:t>
      </w:r>
      <w:r w:rsidR="00A42BA5" w:rsidRPr="00D53865">
        <w:rPr>
          <w:i/>
        </w:rPr>
        <w:t>la gestion des ressources humaines peut comprendre le management des talents, les relations avec les employés et les relations industrielles, les départs, la formation et le développement, les bonus, les rémunérations et autres avantages sociaux, le management des performances, la gestion des griefs, les stratégies, les mesures, les principes, les décisions de politique, les opérations, les pratiques et les méthode</w:t>
      </w:r>
      <w:r w:rsidR="00A42BA5">
        <w:t>s ».</w:t>
      </w:r>
    </w:p>
    <w:p w14:paraId="34C7CCEE" w14:textId="6ED742C3" w:rsidR="00A42BA5" w:rsidRDefault="0069378C" w:rsidP="00A42BA5">
      <w:pPr>
        <w:pStyle w:val="Pardeliste"/>
        <w:numPr>
          <w:ilvl w:val="0"/>
          <w:numId w:val="14"/>
        </w:numPr>
      </w:pPr>
      <w:r>
        <w:t xml:space="preserve">§ </w:t>
      </w:r>
      <w:r w:rsidR="00A42BA5">
        <w:t>5 – Termes relatifs aux personnes et à l’organisation</w:t>
      </w:r>
      <w:r w:rsidR="00A42BA5">
        <w:br/>
        <w:t>11 termes sont définis, dont le terme compétence : « </w:t>
      </w:r>
      <w:r w:rsidR="00A42BA5" w:rsidRPr="00D53865">
        <w:rPr>
          <w:i/>
        </w:rPr>
        <w:t>aptitude à mettre en pratique des connaissances et un savoir-faire pour obtenir les résultats escomptés </w:t>
      </w:r>
      <w:r w:rsidR="00A42BA5">
        <w:t>» (cf. § 5.3)</w:t>
      </w:r>
    </w:p>
    <w:p w14:paraId="700D9F9F" w14:textId="53292EC5" w:rsidR="00A42BA5" w:rsidRDefault="0069378C" w:rsidP="00A42BA5">
      <w:pPr>
        <w:pStyle w:val="Pardeliste"/>
        <w:numPr>
          <w:ilvl w:val="0"/>
          <w:numId w:val="14"/>
        </w:numPr>
      </w:pPr>
      <w:r>
        <w:t xml:space="preserve">§ </w:t>
      </w:r>
      <w:r w:rsidR="00A42BA5">
        <w:t xml:space="preserve">6 – Termes relatifs aux mesures des ressources humaines </w:t>
      </w:r>
      <w:r w:rsidR="00A42BA5">
        <w:br/>
        <w:t>18 termes sont définis.</w:t>
      </w:r>
    </w:p>
    <w:p w14:paraId="55B19CCF" w14:textId="6DF42630" w:rsidR="00A42BA5" w:rsidRDefault="0069378C" w:rsidP="00A42BA5">
      <w:pPr>
        <w:pStyle w:val="Pardeliste"/>
        <w:numPr>
          <w:ilvl w:val="0"/>
          <w:numId w:val="14"/>
        </w:numPr>
      </w:pPr>
      <w:r>
        <w:t xml:space="preserve">§ </w:t>
      </w:r>
      <w:r w:rsidR="00A42BA5">
        <w:t>7 – Termes relatifs à la gouvernance humaine</w:t>
      </w:r>
      <w:r w:rsidR="00A42BA5">
        <w:br/>
        <w:t>Un seul terme est défini, celui de gouvernance humaine, à savoir : « </w:t>
      </w:r>
      <w:r w:rsidR="00A42BA5" w:rsidRPr="00517A43">
        <w:rPr>
          <w:i/>
        </w:rPr>
        <w:t>système par lequel une organisation est dirigée et contrôlée et qui prend en compte les parties prenantes de ladite organisation, ainsi que les facteurs humains et sociaux, tant au niveau le plus élevé qu’à tous les niveaux de prise de décision </w:t>
      </w:r>
      <w:r w:rsidR="00A42BA5">
        <w:t xml:space="preserve">» (cf. § 7.1) </w:t>
      </w:r>
    </w:p>
    <w:p w14:paraId="19D98964" w14:textId="142ED3CC" w:rsidR="00A42BA5" w:rsidRPr="00E66581" w:rsidRDefault="0069378C" w:rsidP="00E66581">
      <w:pPr>
        <w:pStyle w:val="Pardeliste"/>
        <w:numPr>
          <w:ilvl w:val="0"/>
          <w:numId w:val="14"/>
        </w:numPr>
        <w:rPr>
          <w:color w:val="000000" w:themeColor="text1"/>
        </w:rPr>
      </w:pPr>
      <w:r>
        <w:t xml:space="preserve"> §</w:t>
      </w:r>
      <w:r w:rsidR="00A42BA5">
        <w:t>8 – Termes relatifs à l’employabilité durable</w:t>
      </w:r>
      <w:r w:rsidR="00A42BA5">
        <w:br/>
        <w:t>4 termes sont définis, dont le terme employabilité durable : « </w:t>
      </w:r>
      <w:r w:rsidR="00A42BA5" w:rsidRPr="00517A43">
        <w:rPr>
          <w:i/>
        </w:rPr>
        <w:t>capacité à long terme à trouver ou conserver du travail</w:t>
      </w:r>
      <w:r w:rsidR="00A42BA5">
        <w:t xml:space="preserve"> ». (cf. § 8.1) </w:t>
      </w:r>
      <w:r w:rsidR="00A42BA5" w:rsidRPr="00E66581">
        <w:rPr>
          <w:color w:val="000000" w:themeColor="text1"/>
        </w:rPr>
        <w:br/>
      </w:r>
      <w:r w:rsidR="00A42BA5" w:rsidRPr="00E66581">
        <w:rPr>
          <w:color w:val="000000" w:themeColor="text1"/>
        </w:rPr>
        <w:lastRenderedPageBreak/>
        <w:t>Une note 1 précise : « </w:t>
      </w:r>
      <w:r w:rsidR="00A42BA5" w:rsidRPr="00E66581">
        <w:rPr>
          <w:i/>
          <w:color w:val="000000" w:themeColor="text1"/>
        </w:rPr>
        <w:t>L’employabilité durable peut relever de la responsabilité des personnes, des organisations ou des gouvernements </w:t>
      </w:r>
      <w:r w:rsidR="00A42BA5" w:rsidRPr="00E66581">
        <w:rPr>
          <w:color w:val="000000" w:themeColor="text1"/>
        </w:rPr>
        <w:t xml:space="preserve">». </w:t>
      </w:r>
    </w:p>
    <w:p w14:paraId="49789326" w14:textId="637FE70A" w:rsidR="00A42BA5" w:rsidRPr="00E66581" w:rsidRDefault="0069378C" w:rsidP="00E66581">
      <w:pPr>
        <w:pStyle w:val="Pardeliste"/>
        <w:numPr>
          <w:ilvl w:val="0"/>
          <w:numId w:val="14"/>
        </w:numPr>
        <w:rPr>
          <w:color w:val="000000" w:themeColor="text1"/>
        </w:rPr>
      </w:pPr>
      <w:r>
        <w:rPr>
          <w:color w:val="000000" w:themeColor="text1"/>
        </w:rPr>
        <w:t xml:space="preserve">§ </w:t>
      </w:r>
      <w:r w:rsidR="00A42BA5" w:rsidRPr="00E66581">
        <w:rPr>
          <w:color w:val="000000" w:themeColor="text1"/>
        </w:rPr>
        <w:t xml:space="preserve">9 – Termes relatifs à la diversité et à l’intégration </w:t>
      </w:r>
      <w:r w:rsidR="00A42BA5" w:rsidRPr="00E66581">
        <w:rPr>
          <w:color w:val="000000" w:themeColor="text1"/>
        </w:rPr>
        <w:br/>
        <w:t xml:space="preserve">7 termes sont définis. </w:t>
      </w:r>
    </w:p>
    <w:p w14:paraId="14BBDE56" w14:textId="3CCF51BC" w:rsidR="00A42BA5" w:rsidRPr="00E66581" w:rsidRDefault="0069378C" w:rsidP="00E66581">
      <w:pPr>
        <w:pStyle w:val="Pardeliste"/>
        <w:numPr>
          <w:ilvl w:val="0"/>
          <w:numId w:val="14"/>
        </w:numPr>
        <w:rPr>
          <w:color w:val="000000" w:themeColor="text1"/>
        </w:rPr>
      </w:pPr>
      <w:r>
        <w:rPr>
          <w:color w:val="000000" w:themeColor="text1"/>
        </w:rPr>
        <w:t xml:space="preserve">§ </w:t>
      </w:r>
      <w:r w:rsidR="00A42BA5" w:rsidRPr="00E66581">
        <w:rPr>
          <w:color w:val="000000" w:themeColor="text1"/>
        </w:rPr>
        <w:t xml:space="preserve">10 – Termes relatifs à la planification de la main d’œuvre </w:t>
      </w:r>
      <w:r w:rsidR="00A42BA5" w:rsidRPr="00E66581">
        <w:rPr>
          <w:color w:val="000000" w:themeColor="text1"/>
        </w:rPr>
        <w:br/>
        <w:t xml:space="preserve">4 termes sont définis. </w:t>
      </w:r>
    </w:p>
    <w:p w14:paraId="5FDF4552" w14:textId="787F70BC" w:rsidR="00A42BA5" w:rsidRPr="00E66581" w:rsidRDefault="0069378C" w:rsidP="00E66581">
      <w:pPr>
        <w:pStyle w:val="Pardeliste"/>
        <w:numPr>
          <w:ilvl w:val="0"/>
          <w:numId w:val="14"/>
        </w:numPr>
        <w:rPr>
          <w:color w:val="000000" w:themeColor="text1"/>
        </w:rPr>
      </w:pPr>
      <w:r>
        <w:rPr>
          <w:color w:val="000000" w:themeColor="text1"/>
        </w:rPr>
        <w:t xml:space="preserve">§ </w:t>
      </w:r>
      <w:r w:rsidR="00A42BA5" w:rsidRPr="00E66581">
        <w:rPr>
          <w:color w:val="000000" w:themeColor="text1"/>
        </w:rPr>
        <w:t xml:space="preserve">11 – Termes relatifs au recrutement </w:t>
      </w:r>
      <w:r w:rsidR="00A42BA5" w:rsidRPr="00E66581">
        <w:rPr>
          <w:color w:val="000000" w:themeColor="text1"/>
        </w:rPr>
        <w:br/>
        <w:t>18 termes sont définis, dont celui du recrutement : « </w:t>
      </w:r>
      <w:r w:rsidR="00A42BA5" w:rsidRPr="00E66581">
        <w:rPr>
          <w:i/>
          <w:color w:val="000000" w:themeColor="text1"/>
        </w:rPr>
        <w:t>processus consistant à rechercher, attirer, évaluer et employer un talent pour un poste existant ou un nouveau poste dans l’organisation </w:t>
      </w:r>
      <w:r w:rsidR="00A42BA5" w:rsidRPr="00E66581">
        <w:rPr>
          <w:color w:val="000000" w:themeColor="text1"/>
        </w:rPr>
        <w:t>» (cf. 11.1).</w:t>
      </w:r>
    </w:p>
    <w:p w14:paraId="137338D4" w14:textId="4C14DB86" w:rsidR="00A42BA5" w:rsidRPr="00E66581" w:rsidRDefault="0069378C" w:rsidP="00E66581">
      <w:pPr>
        <w:pStyle w:val="Pardeliste"/>
        <w:numPr>
          <w:ilvl w:val="0"/>
          <w:numId w:val="14"/>
        </w:numPr>
        <w:rPr>
          <w:color w:val="000000" w:themeColor="text1"/>
        </w:rPr>
      </w:pPr>
      <w:r>
        <w:rPr>
          <w:color w:val="000000" w:themeColor="text1"/>
        </w:rPr>
        <w:t xml:space="preserve">§ </w:t>
      </w:r>
      <w:r w:rsidR="00A42BA5" w:rsidRPr="00E66581">
        <w:rPr>
          <w:color w:val="000000" w:themeColor="text1"/>
        </w:rPr>
        <w:t xml:space="preserve">12 – Termes relatifs à la mobilité de la main d’œuvre </w:t>
      </w:r>
      <w:r w:rsidR="00A42BA5" w:rsidRPr="00E66581">
        <w:rPr>
          <w:color w:val="000000" w:themeColor="text1"/>
        </w:rPr>
        <w:br/>
        <w:t xml:space="preserve">5  termes sont définis. </w:t>
      </w:r>
    </w:p>
    <w:p w14:paraId="4657CEEB" w14:textId="4358D036" w:rsidR="00A42BA5" w:rsidRPr="00E66581" w:rsidRDefault="0069378C" w:rsidP="00E66581">
      <w:pPr>
        <w:pStyle w:val="Pardeliste"/>
        <w:numPr>
          <w:ilvl w:val="0"/>
          <w:numId w:val="14"/>
        </w:numPr>
        <w:rPr>
          <w:color w:val="000000" w:themeColor="text1"/>
        </w:rPr>
      </w:pPr>
      <w:r>
        <w:rPr>
          <w:color w:val="000000" w:themeColor="text1"/>
        </w:rPr>
        <w:t xml:space="preserve">§ </w:t>
      </w:r>
      <w:r w:rsidR="00A42BA5" w:rsidRPr="00E66581">
        <w:rPr>
          <w:color w:val="000000" w:themeColor="text1"/>
        </w:rPr>
        <w:t>13 – Termes relatifs au management des t</w:t>
      </w:r>
      <w:r w:rsidR="00E33DFD">
        <w:rPr>
          <w:color w:val="000000" w:themeColor="text1"/>
        </w:rPr>
        <w:t>alents</w:t>
      </w:r>
      <w:r w:rsidR="00E33DFD">
        <w:rPr>
          <w:color w:val="000000" w:themeColor="text1"/>
        </w:rPr>
        <w:br/>
        <w:t xml:space="preserve">3 termes sont définis. </w:t>
      </w:r>
    </w:p>
    <w:p w14:paraId="31A9E62A" w14:textId="4A69EB7C" w:rsidR="00A42BA5" w:rsidRPr="00E66581" w:rsidRDefault="0069378C" w:rsidP="00E66581">
      <w:pPr>
        <w:pStyle w:val="Pardeliste"/>
        <w:numPr>
          <w:ilvl w:val="0"/>
          <w:numId w:val="14"/>
        </w:numPr>
        <w:rPr>
          <w:color w:val="000000" w:themeColor="text1"/>
        </w:rPr>
      </w:pPr>
      <w:r>
        <w:rPr>
          <w:color w:val="000000" w:themeColor="text1"/>
        </w:rPr>
        <w:t xml:space="preserve">§ </w:t>
      </w:r>
      <w:r w:rsidR="00A42BA5" w:rsidRPr="00E66581">
        <w:rPr>
          <w:color w:val="000000" w:themeColor="text1"/>
        </w:rPr>
        <w:t>14 – Termes relatifs au management des connaissances</w:t>
      </w:r>
      <w:r w:rsidR="00A42BA5" w:rsidRPr="00E66581">
        <w:rPr>
          <w:color w:val="000000" w:themeColor="text1"/>
        </w:rPr>
        <w:br/>
        <w:t xml:space="preserve">2 termes sont définis. </w:t>
      </w:r>
    </w:p>
    <w:p w14:paraId="5DEF9619" w14:textId="77777777" w:rsidR="00A42BA5" w:rsidRPr="00E66581" w:rsidRDefault="00A42BA5" w:rsidP="00E66581">
      <w:pPr>
        <w:pStyle w:val="Pardeliste"/>
        <w:numPr>
          <w:ilvl w:val="0"/>
          <w:numId w:val="14"/>
        </w:numPr>
        <w:rPr>
          <w:color w:val="000000" w:themeColor="text1"/>
        </w:rPr>
      </w:pPr>
      <w:r w:rsidRPr="00E66581">
        <w:rPr>
          <w:color w:val="000000" w:themeColor="text1"/>
        </w:rPr>
        <w:t xml:space="preserve">Bibliographie </w:t>
      </w:r>
    </w:p>
    <w:p w14:paraId="4B5E29CD" w14:textId="77777777" w:rsidR="00A42BA5" w:rsidRPr="00E66581" w:rsidRDefault="00A42BA5" w:rsidP="00E66581">
      <w:pPr>
        <w:rPr>
          <w:color w:val="000000" w:themeColor="text1"/>
        </w:rPr>
      </w:pPr>
    </w:p>
    <w:p w14:paraId="70D65C11" w14:textId="76768CD0" w:rsidR="00A42BA5" w:rsidRPr="00E66581" w:rsidRDefault="00A42BA5" w:rsidP="00E66581">
      <w:pPr>
        <w:rPr>
          <w:color w:val="000000" w:themeColor="text1"/>
          <w:sz w:val="22"/>
          <w:szCs w:val="22"/>
        </w:rPr>
      </w:pPr>
      <w:r w:rsidRPr="00E66581">
        <w:rPr>
          <w:color w:val="000000" w:themeColor="text1"/>
        </w:rPr>
        <w:t>Cette norme est appelée à évoluer par le biais d’amendements, en fonction de l’avancement des travaux des nouveaux groupes de travail du comité technique ISO/TC 260.</w:t>
      </w:r>
    </w:p>
    <w:p w14:paraId="3CEA4A0B" w14:textId="77777777" w:rsidR="00E36813" w:rsidRPr="00E66581" w:rsidRDefault="00E36813" w:rsidP="00E66581">
      <w:pPr>
        <w:rPr>
          <w:color w:val="000000" w:themeColor="text1"/>
          <w:sz w:val="22"/>
          <w:szCs w:val="22"/>
        </w:rPr>
      </w:pPr>
    </w:p>
    <w:p w14:paraId="5D8D723A" w14:textId="1577CC25" w:rsidR="00E36813" w:rsidRPr="00E66581" w:rsidRDefault="00E36813" w:rsidP="00F50296">
      <w:pPr>
        <w:jc w:val="center"/>
        <w:rPr>
          <w:color w:val="000000" w:themeColor="text1"/>
        </w:rPr>
      </w:pPr>
      <w:r w:rsidRPr="00E66581">
        <w:rPr>
          <w:color w:val="000000" w:themeColor="text1"/>
        </w:rPr>
        <w:t>---------------</w:t>
      </w:r>
    </w:p>
    <w:p w14:paraId="15A265CB" w14:textId="77777777" w:rsidR="00E36813" w:rsidRPr="00E66581" w:rsidRDefault="00E36813" w:rsidP="00E66581">
      <w:pPr>
        <w:rPr>
          <w:color w:val="000000" w:themeColor="text1"/>
        </w:rPr>
      </w:pPr>
    </w:p>
    <w:p w14:paraId="1227D180" w14:textId="4E90BD8E" w:rsidR="00E36813" w:rsidRPr="00E66581" w:rsidRDefault="00E36813" w:rsidP="00E66581">
      <w:pPr>
        <w:pBdr>
          <w:top w:val="single" w:sz="4" w:space="1" w:color="auto"/>
          <w:left w:val="single" w:sz="4" w:space="4" w:color="auto"/>
          <w:bottom w:val="single" w:sz="4" w:space="1" w:color="auto"/>
          <w:right w:val="single" w:sz="4" w:space="4" w:color="auto"/>
        </w:pBdr>
        <w:rPr>
          <w:b/>
          <w:i/>
          <w:color w:val="000000" w:themeColor="text1"/>
        </w:rPr>
      </w:pPr>
      <w:r w:rsidRPr="00E66581">
        <w:rPr>
          <w:b/>
          <w:i/>
          <w:color w:val="000000" w:themeColor="text1"/>
        </w:rPr>
        <w:t>ISO 30401 – Management des ressources humaines - Knowledge management - Exigences</w:t>
      </w:r>
    </w:p>
    <w:p w14:paraId="1ED28186" w14:textId="3ACC694E" w:rsidR="00E36813" w:rsidRPr="00E66581" w:rsidRDefault="00E36813" w:rsidP="00E66581">
      <w:pPr>
        <w:rPr>
          <w:color w:val="000000" w:themeColor="text1"/>
          <w:sz w:val="22"/>
          <w:szCs w:val="22"/>
        </w:rPr>
      </w:pPr>
    </w:p>
    <w:p w14:paraId="25EB4A79" w14:textId="712822CF" w:rsidR="00E36813" w:rsidRPr="00E66581" w:rsidRDefault="00CF2E9D" w:rsidP="00E66581">
      <w:pPr>
        <w:rPr>
          <w:color w:val="000000" w:themeColor="text1"/>
          <w:sz w:val="22"/>
          <w:szCs w:val="22"/>
        </w:rPr>
      </w:pPr>
      <w:r w:rsidRPr="00E66581">
        <w:rPr>
          <w:color w:val="000000" w:themeColor="text1"/>
          <w:sz w:val="22"/>
          <w:szCs w:val="22"/>
        </w:rPr>
        <w:t>Rappelons que c</w:t>
      </w:r>
      <w:r w:rsidR="00E36813" w:rsidRPr="00E66581">
        <w:rPr>
          <w:color w:val="000000" w:themeColor="text1"/>
          <w:sz w:val="22"/>
          <w:szCs w:val="22"/>
        </w:rPr>
        <w:t xml:space="preserve">e texte est structuré selon l’approche HLS </w:t>
      </w:r>
      <w:r w:rsidR="006079B4">
        <w:rPr>
          <w:color w:val="000000" w:themeColor="text1"/>
          <w:sz w:val="22"/>
          <w:szCs w:val="22"/>
        </w:rPr>
        <w:t xml:space="preserve">(high level structure) </w:t>
      </w:r>
      <w:r w:rsidR="00E36813" w:rsidRPr="00E66581">
        <w:rPr>
          <w:color w:val="000000" w:themeColor="text1"/>
          <w:sz w:val="22"/>
          <w:szCs w:val="22"/>
        </w:rPr>
        <w:t xml:space="preserve">permettant l’intégration de ce sujet dans un système de management. </w:t>
      </w:r>
    </w:p>
    <w:p w14:paraId="2716A0A3" w14:textId="77777777" w:rsidR="000C54D2" w:rsidRPr="00E66581" w:rsidRDefault="000C54D2" w:rsidP="00E66581">
      <w:pPr>
        <w:rPr>
          <w:color w:val="000000" w:themeColor="text1"/>
          <w:sz w:val="22"/>
          <w:szCs w:val="22"/>
        </w:rPr>
      </w:pPr>
    </w:p>
    <w:p w14:paraId="5AA9BB3A" w14:textId="0CE98F6D" w:rsidR="00AE081B" w:rsidRPr="00F50296" w:rsidRDefault="00E66581" w:rsidP="00E66581">
      <w:pPr>
        <w:rPr>
          <w:bCs/>
          <w:color w:val="000000" w:themeColor="text1"/>
          <w:sz w:val="22"/>
          <w:szCs w:val="22"/>
        </w:rPr>
      </w:pPr>
      <w:r w:rsidRPr="00F50296">
        <w:rPr>
          <w:bCs/>
          <w:color w:val="000000" w:themeColor="text1"/>
          <w:sz w:val="22"/>
          <w:szCs w:val="22"/>
        </w:rPr>
        <w:t>Le</w:t>
      </w:r>
      <w:r w:rsidR="00831DD9" w:rsidRPr="00F50296">
        <w:rPr>
          <w:bCs/>
          <w:color w:val="000000" w:themeColor="text1"/>
          <w:sz w:val="22"/>
          <w:szCs w:val="22"/>
        </w:rPr>
        <w:t xml:space="preserve"> vote </w:t>
      </w:r>
      <w:r w:rsidR="00F50296">
        <w:rPr>
          <w:bCs/>
          <w:color w:val="000000" w:themeColor="text1"/>
          <w:sz w:val="22"/>
          <w:szCs w:val="22"/>
        </w:rPr>
        <w:t xml:space="preserve">sur le </w:t>
      </w:r>
      <w:r w:rsidR="006D20A4">
        <w:rPr>
          <w:bCs/>
          <w:color w:val="000000" w:themeColor="text1"/>
          <w:sz w:val="22"/>
          <w:szCs w:val="22"/>
        </w:rPr>
        <w:t>passage</w:t>
      </w:r>
      <w:r w:rsidR="00F50296">
        <w:rPr>
          <w:bCs/>
          <w:color w:val="000000" w:themeColor="text1"/>
          <w:sz w:val="22"/>
          <w:szCs w:val="22"/>
        </w:rPr>
        <w:t xml:space="preserve"> d</w:t>
      </w:r>
      <w:r w:rsidR="0054519A">
        <w:rPr>
          <w:bCs/>
          <w:color w:val="000000" w:themeColor="text1"/>
          <w:sz w:val="22"/>
          <w:szCs w:val="22"/>
        </w:rPr>
        <w:t>u</w:t>
      </w:r>
      <w:r w:rsidR="00F50296">
        <w:rPr>
          <w:bCs/>
          <w:color w:val="000000" w:themeColor="text1"/>
          <w:sz w:val="22"/>
          <w:szCs w:val="22"/>
        </w:rPr>
        <w:t xml:space="preserve"> </w:t>
      </w:r>
      <w:r w:rsidR="00831DD9" w:rsidRPr="00F50296">
        <w:rPr>
          <w:bCs/>
          <w:color w:val="000000" w:themeColor="text1"/>
          <w:sz w:val="22"/>
          <w:szCs w:val="22"/>
        </w:rPr>
        <w:t xml:space="preserve">CD </w:t>
      </w:r>
      <w:r w:rsidR="00F50296">
        <w:rPr>
          <w:bCs/>
          <w:color w:val="000000" w:themeColor="text1"/>
          <w:sz w:val="22"/>
          <w:szCs w:val="22"/>
        </w:rPr>
        <w:t xml:space="preserve">(committee draft) </w:t>
      </w:r>
      <w:r w:rsidR="0054519A">
        <w:rPr>
          <w:bCs/>
          <w:color w:val="000000" w:themeColor="text1"/>
          <w:sz w:val="22"/>
          <w:szCs w:val="22"/>
        </w:rPr>
        <w:t xml:space="preserve">au stade de </w:t>
      </w:r>
      <w:r w:rsidR="000839F7">
        <w:rPr>
          <w:bCs/>
          <w:color w:val="000000" w:themeColor="text1"/>
          <w:sz w:val="22"/>
          <w:szCs w:val="22"/>
        </w:rPr>
        <w:t xml:space="preserve">DIS (Draft international </w:t>
      </w:r>
      <w:r w:rsidR="000839F7">
        <w:rPr>
          <w:bCs/>
          <w:color w:val="000000" w:themeColor="text1"/>
          <w:sz w:val="22"/>
          <w:szCs w:val="22"/>
        </w:rPr>
        <w:lastRenderedPageBreak/>
        <w:t xml:space="preserve">standard) est </w:t>
      </w:r>
      <w:r w:rsidR="0054519A">
        <w:rPr>
          <w:bCs/>
          <w:color w:val="000000" w:themeColor="text1"/>
          <w:sz w:val="22"/>
          <w:szCs w:val="22"/>
        </w:rPr>
        <w:t>en cours</w:t>
      </w:r>
      <w:r w:rsidR="000839F7">
        <w:rPr>
          <w:bCs/>
          <w:color w:val="000000" w:themeColor="text1"/>
          <w:sz w:val="22"/>
          <w:szCs w:val="22"/>
        </w:rPr>
        <w:t>. La date limite de publication </w:t>
      </w:r>
      <w:r w:rsidR="0054519A">
        <w:rPr>
          <w:bCs/>
          <w:color w:val="000000" w:themeColor="text1"/>
          <w:sz w:val="22"/>
          <w:szCs w:val="22"/>
        </w:rPr>
        <w:t>de cette norme a été fixée en</w:t>
      </w:r>
      <w:r w:rsidR="000839F7">
        <w:rPr>
          <w:bCs/>
          <w:color w:val="000000" w:themeColor="text1"/>
          <w:sz w:val="22"/>
          <w:szCs w:val="22"/>
        </w:rPr>
        <w:t xml:space="preserve"> octobre 2018. </w:t>
      </w:r>
      <w:r w:rsidRPr="00F50296">
        <w:rPr>
          <w:bCs/>
          <w:color w:val="000000" w:themeColor="text1"/>
          <w:sz w:val="22"/>
          <w:szCs w:val="22"/>
        </w:rPr>
        <w:t xml:space="preserve">  </w:t>
      </w:r>
    </w:p>
    <w:p w14:paraId="73E05789" w14:textId="77777777" w:rsidR="00E66581" w:rsidRPr="00E66581" w:rsidRDefault="00E66581" w:rsidP="00E66581">
      <w:pPr>
        <w:rPr>
          <w:color w:val="000000" w:themeColor="text1"/>
          <w:sz w:val="22"/>
          <w:szCs w:val="22"/>
        </w:rPr>
      </w:pPr>
    </w:p>
    <w:p w14:paraId="3C80963C" w14:textId="3E43EDC5" w:rsidR="00AE081B" w:rsidRPr="00E66581" w:rsidRDefault="006079B4" w:rsidP="00E66581">
      <w:pPr>
        <w:rPr>
          <w:color w:val="000000" w:themeColor="text1"/>
          <w:sz w:val="22"/>
          <w:szCs w:val="22"/>
        </w:rPr>
      </w:pPr>
      <w:r>
        <w:rPr>
          <w:color w:val="000000" w:themeColor="text1"/>
          <w:sz w:val="22"/>
          <w:szCs w:val="22"/>
          <w:lang w:val="en-US"/>
        </w:rPr>
        <w:t>Rappel du domaine d’application</w:t>
      </w:r>
      <w:r w:rsidR="00E66581">
        <w:rPr>
          <w:color w:val="000000" w:themeColor="text1"/>
          <w:sz w:val="22"/>
          <w:szCs w:val="22"/>
          <w:lang w:val="en-US"/>
        </w:rPr>
        <w:t xml:space="preserve"> </w:t>
      </w:r>
      <w:r w:rsidR="00831DD9" w:rsidRPr="00E66581">
        <w:rPr>
          <w:color w:val="000000" w:themeColor="text1"/>
          <w:sz w:val="22"/>
          <w:szCs w:val="22"/>
          <w:lang w:val="en-US"/>
        </w:rPr>
        <w:t xml:space="preserve">: </w:t>
      </w:r>
      <w:r w:rsidR="00E66581">
        <w:rPr>
          <w:color w:val="000000" w:themeColor="text1"/>
          <w:sz w:val="22"/>
          <w:szCs w:val="22"/>
          <w:lang w:val="en-US"/>
        </w:rPr>
        <w:t xml:space="preserve">“ </w:t>
      </w:r>
      <w:r w:rsidR="00831DD9" w:rsidRPr="00E66581">
        <w:rPr>
          <w:i/>
          <w:color w:val="000000" w:themeColor="text1"/>
          <w:sz w:val="22"/>
          <w:szCs w:val="22"/>
          <w:lang w:val="en-US"/>
        </w:rPr>
        <w:t xml:space="preserve">This international standard sets requirements and provide guidelines for establishing, implementing, maintaining, reviewing and improving an effective management system for knowledge management in organizations. All the requirements of this international standard are applicable to any organization, regardless of its type or size, or the products and services it </w:t>
      </w:r>
      <w:r w:rsidR="00831DD9" w:rsidRPr="00E66581">
        <w:rPr>
          <w:i/>
          <w:color w:val="000000" w:themeColor="text1"/>
          <w:sz w:val="22"/>
          <w:szCs w:val="22"/>
        </w:rPr>
        <w:t>provides</w:t>
      </w:r>
      <w:r w:rsidR="00E66581" w:rsidRPr="00E66581">
        <w:rPr>
          <w:i/>
          <w:color w:val="000000" w:themeColor="text1"/>
          <w:sz w:val="22"/>
          <w:szCs w:val="22"/>
        </w:rPr>
        <w:t> </w:t>
      </w:r>
      <w:r w:rsidR="00E66581">
        <w:rPr>
          <w:color w:val="000000" w:themeColor="text1"/>
          <w:sz w:val="22"/>
          <w:szCs w:val="22"/>
        </w:rPr>
        <w:t>».</w:t>
      </w:r>
    </w:p>
    <w:p w14:paraId="6CF60F53" w14:textId="39CF6C92" w:rsidR="000C54D2" w:rsidRPr="00E66581" w:rsidRDefault="000C54D2" w:rsidP="008B69B6">
      <w:pPr>
        <w:rPr>
          <w:color w:val="000000" w:themeColor="text1"/>
          <w:sz w:val="22"/>
          <w:szCs w:val="22"/>
        </w:rPr>
      </w:pPr>
    </w:p>
    <w:p w14:paraId="65D60261" w14:textId="77777777" w:rsidR="004E3E88" w:rsidRPr="00E66581" w:rsidRDefault="004E3E88" w:rsidP="00E66581">
      <w:pPr>
        <w:jc w:val="center"/>
        <w:rPr>
          <w:color w:val="000000" w:themeColor="text1"/>
        </w:rPr>
      </w:pPr>
      <w:r w:rsidRPr="00E66581">
        <w:rPr>
          <w:color w:val="000000" w:themeColor="text1"/>
        </w:rPr>
        <w:t>---------------</w:t>
      </w:r>
    </w:p>
    <w:p w14:paraId="2B9A9F17" w14:textId="77777777" w:rsidR="004E3E88" w:rsidRPr="00E66581" w:rsidRDefault="004E3E88" w:rsidP="008B69B6">
      <w:pPr>
        <w:rPr>
          <w:color w:val="000000" w:themeColor="text1"/>
        </w:rPr>
      </w:pPr>
    </w:p>
    <w:p w14:paraId="373A44EF" w14:textId="54ABBB2C" w:rsidR="008B69B6" w:rsidRPr="00E66581" w:rsidRDefault="008B69B6" w:rsidP="008B69B6">
      <w:pPr>
        <w:pBdr>
          <w:top w:val="single" w:sz="4" w:space="1" w:color="auto"/>
          <w:left w:val="single" w:sz="4" w:space="4" w:color="auto"/>
          <w:bottom w:val="single" w:sz="4" w:space="1" w:color="auto"/>
          <w:right w:val="single" w:sz="4" w:space="4" w:color="auto"/>
        </w:pBdr>
        <w:rPr>
          <w:b/>
          <w:i/>
          <w:color w:val="000000" w:themeColor="text1"/>
        </w:rPr>
      </w:pPr>
      <w:r w:rsidRPr="00E66581">
        <w:rPr>
          <w:b/>
          <w:i/>
          <w:color w:val="000000" w:themeColor="text1"/>
        </w:rPr>
        <w:t>ISO 304</w:t>
      </w:r>
      <w:r w:rsidR="00173281" w:rsidRPr="00E66581">
        <w:rPr>
          <w:b/>
          <w:i/>
          <w:color w:val="000000" w:themeColor="text1"/>
        </w:rPr>
        <w:t>05</w:t>
      </w:r>
      <w:r w:rsidRPr="00E66581">
        <w:rPr>
          <w:b/>
          <w:i/>
          <w:color w:val="000000" w:themeColor="text1"/>
        </w:rPr>
        <w:t xml:space="preserve"> – Management des ressources humaines – Lignes directrices relatives au recrutement</w:t>
      </w:r>
    </w:p>
    <w:p w14:paraId="5173482F" w14:textId="77777777" w:rsidR="008B69B6" w:rsidRPr="00E66581" w:rsidRDefault="008B69B6" w:rsidP="008B69B6">
      <w:pPr>
        <w:rPr>
          <w:color w:val="000000" w:themeColor="text1"/>
        </w:rPr>
      </w:pPr>
    </w:p>
    <w:p w14:paraId="3B3EC26C" w14:textId="750352CC" w:rsidR="008B69B6" w:rsidRDefault="005A7620" w:rsidP="00963110">
      <w:pPr>
        <w:jc w:val="both"/>
        <w:rPr>
          <w:color w:val="000000" w:themeColor="text1"/>
          <w:sz w:val="22"/>
          <w:szCs w:val="22"/>
        </w:rPr>
      </w:pPr>
      <w:r>
        <w:rPr>
          <w:color w:val="000000" w:themeColor="text1"/>
          <w:sz w:val="22"/>
          <w:szCs w:val="22"/>
        </w:rPr>
        <w:t xml:space="preserve">La norme ISO 30405 a été publiée en septembre 2016. </w:t>
      </w:r>
    </w:p>
    <w:p w14:paraId="1B8C5559" w14:textId="77777777" w:rsidR="005A7620" w:rsidRDefault="005A7620" w:rsidP="00963110">
      <w:pPr>
        <w:jc w:val="both"/>
        <w:rPr>
          <w:color w:val="000000" w:themeColor="text1"/>
          <w:sz w:val="22"/>
          <w:szCs w:val="22"/>
        </w:rPr>
      </w:pPr>
    </w:p>
    <w:p w14:paraId="01CC40CD" w14:textId="4FC9E72F" w:rsidR="00975554" w:rsidRDefault="00975554" w:rsidP="00975554">
      <w:r>
        <w:t xml:space="preserve">Le sommaire de cette norme est le suivant : </w:t>
      </w:r>
    </w:p>
    <w:p w14:paraId="13DEB88A" w14:textId="0FB6E74B" w:rsidR="00975554" w:rsidRDefault="00975554" w:rsidP="00975554">
      <w:pPr>
        <w:pStyle w:val="Pardeliste"/>
        <w:numPr>
          <w:ilvl w:val="0"/>
          <w:numId w:val="14"/>
        </w:numPr>
      </w:pPr>
      <w:r>
        <w:t xml:space="preserve">Avant-propos </w:t>
      </w:r>
    </w:p>
    <w:p w14:paraId="625A4539" w14:textId="76D3ED54" w:rsidR="00975554" w:rsidRDefault="00975554" w:rsidP="00975554">
      <w:pPr>
        <w:pStyle w:val="Pardeliste"/>
        <w:numPr>
          <w:ilvl w:val="0"/>
          <w:numId w:val="14"/>
        </w:numPr>
      </w:pPr>
      <w:r>
        <w:t xml:space="preserve">Introduction </w:t>
      </w:r>
    </w:p>
    <w:p w14:paraId="3C1E8A4D" w14:textId="520DDA82" w:rsidR="00975554" w:rsidRDefault="00975554" w:rsidP="00975554">
      <w:pPr>
        <w:pStyle w:val="Pardeliste"/>
        <w:numPr>
          <w:ilvl w:val="0"/>
          <w:numId w:val="14"/>
        </w:numPr>
      </w:pPr>
      <w:r>
        <w:t xml:space="preserve">§ 1 – Domaine d’application </w:t>
      </w:r>
    </w:p>
    <w:p w14:paraId="29FFA706" w14:textId="77777777" w:rsidR="00A64C6E" w:rsidRPr="00A64C6E" w:rsidRDefault="00975554" w:rsidP="00A64C6E">
      <w:pPr>
        <w:pStyle w:val="Pardeliste"/>
        <w:numPr>
          <w:ilvl w:val="0"/>
          <w:numId w:val="14"/>
        </w:numPr>
      </w:pPr>
      <w:r>
        <w:t xml:space="preserve">§ 2 – Références normatives </w:t>
      </w:r>
    </w:p>
    <w:p w14:paraId="482BC782" w14:textId="1D676B39" w:rsidR="00975554" w:rsidRDefault="00A64C6E" w:rsidP="00A64C6E">
      <w:pPr>
        <w:pStyle w:val="Pardeliste"/>
        <w:numPr>
          <w:ilvl w:val="0"/>
          <w:numId w:val="14"/>
        </w:numPr>
      </w:pPr>
      <w:r>
        <w:t xml:space="preserve">§ </w:t>
      </w:r>
      <w:r w:rsidR="00975554">
        <w:t xml:space="preserve">3 – Termes et définitions (20 termes sont définis) </w:t>
      </w:r>
    </w:p>
    <w:p w14:paraId="5291AFA6" w14:textId="23891B16" w:rsidR="00975554" w:rsidRDefault="00A64C6E" w:rsidP="00975554">
      <w:pPr>
        <w:pStyle w:val="Pardeliste"/>
        <w:numPr>
          <w:ilvl w:val="0"/>
          <w:numId w:val="14"/>
        </w:numPr>
      </w:pPr>
      <w:r>
        <w:t xml:space="preserve">§ </w:t>
      </w:r>
      <w:r w:rsidR="00975554">
        <w:t xml:space="preserve">4 – Lignes directrices relatives au recrutement </w:t>
      </w:r>
    </w:p>
    <w:p w14:paraId="3A0C62F3" w14:textId="77777777" w:rsidR="00975554" w:rsidRDefault="00975554" w:rsidP="00975554">
      <w:pPr>
        <w:pStyle w:val="Pardeliste"/>
        <w:numPr>
          <w:ilvl w:val="1"/>
          <w:numId w:val="14"/>
        </w:numPr>
      </w:pPr>
      <w:r>
        <w:t xml:space="preserve">4.1 – Généralités </w:t>
      </w:r>
    </w:p>
    <w:p w14:paraId="083CD07C" w14:textId="77777777" w:rsidR="00975554" w:rsidRDefault="00975554" w:rsidP="00975554">
      <w:pPr>
        <w:pStyle w:val="Pardeliste"/>
        <w:numPr>
          <w:ilvl w:val="1"/>
          <w:numId w:val="14"/>
        </w:numPr>
      </w:pPr>
      <w:r>
        <w:t xml:space="preserve">4.2 – Vivier de talents potentiels </w:t>
      </w:r>
    </w:p>
    <w:p w14:paraId="2016CE1C" w14:textId="77777777" w:rsidR="00975554" w:rsidRDefault="00975554" w:rsidP="00975554">
      <w:pPr>
        <w:pStyle w:val="Pardeliste"/>
        <w:numPr>
          <w:ilvl w:val="1"/>
          <w:numId w:val="14"/>
        </w:numPr>
      </w:pPr>
      <w:r>
        <w:t>4.3 – Vivier de talents</w:t>
      </w:r>
    </w:p>
    <w:p w14:paraId="25EDD054" w14:textId="77777777" w:rsidR="00975554" w:rsidRDefault="00975554" w:rsidP="00975554">
      <w:pPr>
        <w:pStyle w:val="Pardeliste"/>
        <w:numPr>
          <w:ilvl w:val="2"/>
          <w:numId w:val="14"/>
        </w:numPr>
      </w:pPr>
      <w:r>
        <w:t xml:space="preserve">4.3.1 – Généralités </w:t>
      </w:r>
    </w:p>
    <w:p w14:paraId="2F5DFD49" w14:textId="77777777" w:rsidR="00975554" w:rsidRDefault="00975554" w:rsidP="00975554">
      <w:pPr>
        <w:pStyle w:val="Pardeliste"/>
        <w:numPr>
          <w:ilvl w:val="2"/>
          <w:numId w:val="14"/>
        </w:numPr>
      </w:pPr>
      <w:r>
        <w:t xml:space="preserve">4.3.2 – Identifier et/ou confirmer les caractéristiques du poste vacant/offre d’emploi </w:t>
      </w:r>
    </w:p>
    <w:p w14:paraId="43CA9A08" w14:textId="77777777" w:rsidR="00975554" w:rsidRDefault="00975554" w:rsidP="00975554">
      <w:pPr>
        <w:pStyle w:val="Pardeliste"/>
        <w:numPr>
          <w:ilvl w:val="2"/>
          <w:numId w:val="14"/>
        </w:numPr>
      </w:pPr>
      <w:r>
        <w:t xml:space="preserve">4.3.3 – Elaborer un plan de recrutement </w:t>
      </w:r>
    </w:p>
    <w:p w14:paraId="4E840DCE" w14:textId="77777777" w:rsidR="00975554" w:rsidRDefault="00975554" w:rsidP="00975554">
      <w:pPr>
        <w:pStyle w:val="Pardeliste"/>
        <w:numPr>
          <w:ilvl w:val="2"/>
          <w:numId w:val="14"/>
        </w:numPr>
      </w:pPr>
      <w:r>
        <w:t xml:space="preserve">4.3.4 – Vivier interne de talents </w:t>
      </w:r>
    </w:p>
    <w:p w14:paraId="3B127D11" w14:textId="77777777" w:rsidR="00975554" w:rsidRDefault="00975554" w:rsidP="00975554">
      <w:pPr>
        <w:pStyle w:val="Pardeliste"/>
        <w:numPr>
          <w:ilvl w:val="2"/>
          <w:numId w:val="14"/>
        </w:numPr>
      </w:pPr>
      <w:r>
        <w:t xml:space="preserve">4.3.5 – Vivier externe de talents </w:t>
      </w:r>
    </w:p>
    <w:p w14:paraId="4F54B7DD" w14:textId="77777777" w:rsidR="00975554" w:rsidRDefault="00975554" w:rsidP="00975554">
      <w:pPr>
        <w:pStyle w:val="Pardeliste"/>
        <w:numPr>
          <w:ilvl w:val="2"/>
          <w:numId w:val="14"/>
        </w:numPr>
      </w:pPr>
      <w:r>
        <w:lastRenderedPageBreak/>
        <w:t xml:space="preserve">4.3.6 – Outils d’aide au suivi de flux de données de recrutement  </w:t>
      </w:r>
    </w:p>
    <w:p w14:paraId="001E6617" w14:textId="77777777" w:rsidR="00975554" w:rsidRDefault="00975554" w:rsidP="00975554">
      <w:pPr>
        <w:pStyle w:val="Pardeliste"/>
        <w:numPr>
          <w:ilvl w:val="1"/>
          <w:numId w:val="14"/>
        </w:numPr>
      </w:pPr>
      <w:r>
        <w:t xml:space="preserve">4.4 – Vivier de demandeurs </w:t>
      </w:r>
    </w:p>
    <w:p w14:paraId="293F3ACD" w14:textId="77777777" w:rsidR="00975554" w:rsidRDefault="00975554" w:rsidP="00975554">
      <w:pPr>
        <w:pStyle w:val="Pardeliste"/>
        <w:numPr>
          <w:ilvl w:val="1"/>
          <w:numId w:val="14"/>
        </w:numPr>
      </w:pPr>
      <w:r>
        <w:t xml:space="preserve">4.5 – Candidats pour évaluation complémentaire </w:t>
      </w:r>
    </w:p>
    <w:p w14:paraId="79BF9806" w14:textId="77777777" w:rsidR="00975554" w:rsidRDefault="00975554" w:rsidP="00975554">
      <w:pPr>
        <w:pStyle w:val="Pardeliste"/>
        <w:numPr>
          <w:ilvl w:val="1"/>
          <w:numId w:val="14"/>
        </w:numPr>
      </w:pPr>
      <w:r>
        <w:t xml:space="preserve">4.6 – Management des candidats </w:t>
      </w:r>
    </w:p>
    <w:p w14:paraId="46380654" w14:textId="77777777" w:rsidR="00975554" w:rsidRDefault="00975554" w:rsidP="00975554">
      <w:pPr>
        <w:pStyle w:val="Pardeliste"/>
        <w:numPr>
          <w:ilvl w:val="1"/>
          <w:numId w:val="14"/>
        </w:numPr>
      </w:pPr>
      <w:r>
        <w:t xml:space="preserve">4.7 – Pré-intégration (pre-boarding) </w:t>
      </w:r>
    </w:p>
    <w:p w14:paraId="6E57B0EF" w14:textId="37DF5E03" w:rsidR="00975554" w:rsidRDefault="00975554" w:rsidP="00975554">
      <w:pPr>
        <w:pStyle w:val="Pardeliste"/>
        <w:numPr>
          <w:ilvl w:val="1"/>
          <w:numId w:val="14"/>
        </w:numPr>
      </w:pPr>
      <w:r>
        <w:t xml:space="preserve">4.8 – Intégration (boarding) </w:t>
      </w:r>
    </w:p>
    <w:p w14:paraId="352BBAA9" w14:textId="0F265A95" w:rsidR="00975554" w:rsidRDefault="00975554" w:rsidP="00975554">
      <w:pPr>
        <w:pStyle w:val="Pardeliste"/>
        <w:numPr>
          <w:ilvl w:val="0"/>
          <w:numId w:val="14"/>
        </w:numPr>
      </w:pPr>
      <w:r>
        <w:t xml:space="preserve">5 – Mesure, analyse et amélioration </w:t>
      </w:r>
    </w:p>
    <w:p w14:paraId="6C8EDD67" w14:textId="306428A6" w:rsidR="00975554" w:rsidRDefault="00975554" w:rsidP="00A64C6E">
      <w:pPr>
        <w:pStyle w:val="Pardeliste"/>
        <w:numPr>
          <w:ilvl w:val="0"/>
          <w:numId w:val="14"/>
        </w:numPr>
      </w:pPr>
      <w:r>
        <w:t xml:space="preserve">Annexe A (informative) – Marque employeur et recrutement </w:t>
      </w:r>
    </w:p>
    <w:p w14:paraId="4347D487" w14:textId="1AB21386" w:rsidR="00975554" w:rsidRDefault="00975554" w:rsidP="00A64C6E">
      <w:pPr>
        <w:pStyle w:val="Pardeliste"/>
        <w:numPr>
          <w:ilvl w:val="0"/>
          <w:numId w:val="14"/>
        </w:numPr>
      </w:pPr>
      <w:r>
        <w:t xml:space="preserve">Annexe B (informative) – Outils de mesures quantitatives communément utilisés dans le processus de recrutement </w:t>
      </w:r>
    </w:p>
    <w:p w14:paraId="67C0B480" w14:textId="1993291C" w:rsidR="00975554" w:rsidRDefault="00975554" w:rsidP="00A64C6E">
      <w:pPr>
        <w:pStyle w:val="Pardeliste"/>
        <w:numPr>
          <w:ilvl w:val="0"/>
          <w:numId w:val="14"/>
        </w:numPr>
      </w:pPr>
      <w:r>
        <w:t xml:space="preserve">Annexe C (informative) -  Outils couramment utilisés en sourcing/recrutement/recherche </w:t>
      </w:r>
    </w:p>
    <w:p w14:paraId="66D99207" w14:textId="3D9CE732" w:rsidR="00975554" w:rsidRDefault="00975554" w:rsidP="00975554">
      <w:pPr>
        <w:pStyle w:val="Pardeliste"/>
        <w:numPr>
          <w:ilvl w:val="0"/>
          <w:numId w:val="14"/>
        </w:numPr>
      </w:pPr>
      <w:r>
        <w:t xml:space="preserve">Annexe D (informative) – Outils couramment utilisés pour le suivi des flux de données de recrutement </w:t>
      </w:r>
    </w:p>
    <w:p w14:paraId="71B2E6E9" w14:textId="43C3F63A" w:rsidR="005A7620" w:rsidRPr="005A7620" w:rsidRDefault="00975554" w:rsidP="00975554">
      <w:pPr>
        <w:jc w:val="both"/>
        <w:rPr>
          <w:color w:val="000000" w:themeColor="text1"/>
          <w:sz w:val="22"/>
          <w:szCs w:val="22"/>
        </w:rPr>
      </w:pPr>
      <w:r>
        <w:t>Bibliographie</w:t>
      </w:r>
    </w:p>
    <w:p w14:paraId="5E2638F3" w14:textId="77777777" w:rsidR="004E3E88" w:rsidRPr="00A57952" w:rsidRDefault="004E3E88" w:rsidP="00963110">
      <w:pPr>
        <w:jc w:val="both"/>
        <w:rPr>
          <w:color w:val="FF0000"/>
          <w:sz w:val="22"/>
          <w:szCs w:val="22"/>
        </w:rPr>
      </w:pPr>
    </w:p>
    <w:p w14:paraId="7B63A9D3" w14:textId="2603F87F" w:rsidR="004E3E88" w:rsidRPr="00A64C6E" w:rsidRDefault="004E3E88" w:rsidP="004E3E88">
      <w:pPr>
        <w:jc w:val="center"/>
        <w:rPr>
          <w:color w:val="000000" w:themeColor="text1"/>
        </w:rPr>
      </w:pPr>
      <w:r w:rsidRPr="00A64C6E">
        <w:rPr>
          <w:color w:val="000000" w:themeColor="text1"/>
        </w:rPr>
        <w:t>---------------</w:t>
      </w:r>
    </w:p>
    <w:p w14:paraId="71B571FD" w14:textId="77777777" w:rsidR="008B69B6" w:rsidRPr="00A64C6E" w:rsidRDefault="008B69B6" w:rsidP="008B69B6">
      <w:pPr>
        <w:rPr>
          <w:color w:val="000000" w:themeColor="text1"/>
        </w:rPr>
      </w:pPr>
    </w:p>
    <w:p w14:paraId="58E2DF0F" w14:textId="0286D18C" w:rsidR="008B69B6" w:rsidRPr="00A64C6E" w:rsidRDefault="008B69B6" w:rsidP="00173281">
      <w:pPr>
        <w:pBdr>
          <w:top w:val="single" w:sz="4" w:space="1" w:color="auto"/>
          <w:left w:val="single" w:sz="4" w:space="4" w:color="auto"/>
          <w:bottom w:val="single" w:sz="4" w:space="1" w:color="auto"/>
          <w:right w:val="single" w:sz="4" w:space="4" w:color="auto"/>
        </w:pBdr>
        <w:rPr>
          <w:b/>
          <w:i/>
          <w:color w:val="000000" w:themeColor="text1"/>
        </w:rPr>
      </w:pPr>
      <w:r w:rsidRPr="00A64C6E">
        <w:rPr>
          <w:b/>
          <w:i/>
          <w:color w:val="000000" w:themeColor="text1"/>
        </w:rPr>
        <w:t xml:space="preserve">ISO 30406 – </w:t>
      </w:r>
      <w:r w:rsidR="00E45E7A">
        <w:rPr>
          <w:b/>
          <w:i/>
          <w:color w:val="000000" w:themeColor="text1"/>
        </w:rPr>
        <w:t>Management des ressources humaines</w:t>
      </w:r>
      <w:r w:rsidRPr="00A64C6E">
        <w:rPr>
          <w:b/>
          <w:i/>
          <w:color w:val="000000" w:themeColor="text1"/>
        </w:rPr>
        <w:t xml:space="preserve"> – </w:t>
      </w:r>
      <w:r w:rsidR="00E45E7A">
        <w:rPr>
          <w:b/>
          <w:i/>
          <w:color w:val="000000" w:themeColor="text1"/>
        </w:rPr>
        <w:t>Gestion de l’employabilité durable des employés</w:t>
      </w:r>
    </w:p>
    <w:p w14:paraId="12942EE0" w14:textId="77777777" w:rsidR="008B69B6" w:rsidRPr="00A57952" w:rsidRDefault="008B69B6" w:rsidP="008B69B6">
      <w:pPr>
        <w:rPr>
          <w:color w:val="FF0000"/>
        </w:rPr>
      </w:pPr>
    </w:p>
    <w:p w14:paraId="4BB73502" w14:textId="6743DB3C" w:rsidR="008B69B6" w:rsidRPr="000839F7" w:rsidRDefault="00F11603" w:rsidP="006A44EC">
      <w:pPr>
        <w:jc w:val="both"/>
        <w:rPr>
          <w:color w:val="000000" w:themeColor="text1"/>
          <w:sz w:val="22"/>
          <w:szCs w:val="22"/>
        </w:rPr>
      </w:pPr>
      <w:r w:rsidRPr="000839F7">
        <w:rPr>
          <w:color w:val="000000" w:themeColor="text1"/>
          <w:sz w:val="22"/>
          <w:szCs w:val="22"/>
        </w:rPr>
        <w:t xml:space="preserve">Le document </w:t>
      </w:r>
      <w:r w:rsidR="000839F7">
        <w:rPr>
          <w:color w:val="000000" w:themeColor="text1"/>
          <w:sz w:val="22"/>
          <w:szCs w:val="22"/>
        </w:rPr>
        <w:t xml:space="preserve">final </w:t>
      </w:r>
      <w:r w:rsidRPr="000839F7">
        <w:rPr>
          <w:color w:val="000000" w:themeColor="text1"/>
          <w:sz w:val="22"/>
          <w:szCs w:val="22"/>
        </w:rPr>
        <w:t>est en cours de publication</w:t>
      </w:r>
      <w:r w:rsidR="0054519A">
        <w:rPr>
          <w:color w:val="000000" w:themeColor="text1"/>
          <w:sz w:val="22"/>
          <w:szCs w:val="22"/>
        </w:rPr>
        <w:t>, sous forme de rapport technique (TR)</w:t>
      </w:r>
      <w:r w:rsidRPr="000839F7">
        <w:rPr>
          <w:color w:val="000000" w:themeColor="text1"/>
          <w:sz w:val="22"/>
          <w:szCs w:val="22"/>
        </w:rPr>
        <w:t xml:space="preserve">. </w:t>
      </w:r>
    </w:p>
    <w:p w14:paraId="60D14138" w14:textId="77777777" w:rsidR="009842D0" w:rsidRPr="00A57952" w:rsidRDefault="009842D0" w:rsidP="006A44EC">
      <w:pPr>
        <w:jc w:val="both"/>
        <w:rPr>
          <w:color w:val="FF0000"/>
          <w:sz w:val="22"/>
          <w:szCs w:val="22"/>
        </w:rPr>
      </w:pPr>
    </w:p>
    <w:p w14:paraId="56BFF15C" w14:textId="5525D702" w:rsidR="009842D0" w:rsidRPr="000403C0" w:rsidRDefault="009842D0" w:rsidP="006A44EC">
      <w:pPr>
        <w:jc w:val="both"/>
        <w:rPr>
          <w:color w:val="000000" w:themeColor="text1"/>
          <w:sz w:val="22"/>
          <w:szCs w:val="22"/>
        </w:rPr>
      </w:pPr>
      <w:r w:rsidRPr="000403C0">
        <w:rPr>
          <w:color w:val="000000" w:themeColor="text1"/>
          <w:sz w:val="22"/>
          <w:szCs w:val="22"/>
        </w:rPr>
        <w:t>Rappel : le terme de sustainable employability est défini comme « </w:t>
      </w:r>
      <w:r w:rsidRPr="000403C0">
        <w:rPr>
          <w:i/>
          <w:color w:val="000000" w:themeColor="text1"/>
          <w:sz w:val="22"/>
          <w:szCs w:val="22"/>
        </w:rPr>
        <w:t>long-term capability to acquire or create and maintain work </w:t>
      </w:r>
      <w:r w:rsidRPr="000403C0">
        <w:rPr>
          <w:color w:val="000000" w:themeColor="text1"/>
          <w:sz w:val="22"/>
          <w:szCs w:val="22"/>
        </w:rPr>
        <w:t>»</w:t>
      </w:r>
    </w:p>
    <w:p w14:paraId="3AC2F31B" w14:textId="77777777" w:rsidR="00B30E18" w:rsidRPr="00A57952" w:rsidRDefault="00B30E18" w:rsidP="008B69B6">
      <w:pPr>
        <w:rPr>
          <w:color w:val="FF0000"/>
        </w:rPr>
      </w:pPr>
    </w:p>
    <w:p w14:paraId="0160ED2B" w14:textId="3E03A8DC" w:rsidR="004E3E88" w:rsidRPr="00E45E7A" w:rsidRDefault="004E3E88" w:rsidP="004E3E88">
      <w:pPr>
        <w:jc w:val="center"/>
        <w:rPr>
          <w:color w:val="000000" w:themeColor="text1"/>
        </w:rPr>
      </w:pPr>
      <w:r w:rsidRPr="00E45E7A">
        <w:rPr>
          <w:color w:val="000000" w:themeColor="text1"/>
        </w:rPr>
        <w:t>---------------</w:t>
      </w:r>
    </w:p>
    <w:p w14:paraId="4E795BA7" w14:textId="77777777" w:rsidR="00173281" w:rsidRPr="00E45E7A" w:rsidRDefault="00173281" w:rsidP="008B69B6">
      <w:pPr>
        <w:rPr>
          <w:color w:val="000000" w:themeColor="text1"/>
        </w:rPr>
      </w:pPr>
    </w:p>
    <w:p w14:paraId="20BDEBEA" w14:textId="3A51AA87" w:rsidR="00173281" w:rsidRPr="00E45E7A" w:rsidRDefault="00E45E7A" w:rsidP="00C27443">
      <w:pPr>
        <w:pBdr>
          <w:top w:val="single" w:sz="4" w:space="1" w:color="auto"/>
          <w:left w:val="single" w:sz="4" w:space="4" w:color="auto"/>
          <w:bottom w:val="single" w:sz="4" w:space="1" w:color="auto"/>
          <w:right w:val="single" w:sz="4" w:space="4" w:color="auto"/>
        </w:pBdr>
        <w:rPr>
          <w:b/>
          <w:i/>
          <w:color w:val="000000" w:themeColor="text1"/>
        </w:rPr>
      </w:pPr>
      <w:r>
        <w:rPr>
          <w:b/>
          <w:i/>
          <w:color w:val="000000" w:themeColor="text1"/>
        </w:rPr>
        <w:lastRenderedPageBreak/>
        <w:t>ISO 30407 – M</w:t>
      </w:r>
      <w:r w:rsidR="00173281" w:rsidRPr="00E45E7A">
        <w:rPr>
          <w:b/>
          <w:i/>
          <w:color w:val="000000" w:themeColor="text1"/>
        </w:rPr>
        <w:t>anagement</w:t>
      </w:r>
      <w:r>
        <w:rPr>
          <w:b/>
          <w:i/>
          <w:color w:val="000000" w:themeColor="text1"/>
        </w:rPr>
        <w:t xml:space="preserve"> des ressources humaines</w:t>
      </w:r>
      <w:r w:rsidR="00173281" w:rsidRPr="00E45E7A">
        <w:rPr>
          <w:b/>
          <w:i/>
          <w:color w:val="000000" w:themeColor="text1"/>
        </w:rPr>
        <w:t xml:space="preserve"> – </w:t>
      </w:r>
      <w:r>
        <w:rPr>
          <w:b/>
          <w:i/>
          <w:color w:val="000000" w:themeColor="text1"/>
        </w:rPr>
        <w:t>Coût du recrutement</w:t>
      </w:r>
    </w:p>
    <w:p w14:paraId="62459CD8" w14:textId="77777777" w:rsidR="00173281" w:rsidRPr="00E45E7A" w:rsidRDefault="00173281" w:rsidP="006A44EC">
      <w:pPr>
        <w:jc w:val="both"/>
        <w:rPr>
          <w:i/>
          <w:color w:val="000000" w:themeColor="text1"/>
          <w:sz w:val="22"/>
          <w:szCs w:val="22"/>
        </w:rPr>
      </w:pPr>
    </w:p>
    <w:p w14:paraId="239F0487" w14:textId="4F05666C" w:rsidR="00173281" w:rsidRPr="00A57952" w:rsidRDefault="0054519A" w:rsidP="006A44EC">
      <w:pPr>
        <w:jc w:val="both"/>
        <w:rPr>
          <w:color w:val="FF0000"/>
          <w:sz w:val="22"/>
          <w:szCs w:val="22"/>
        </w:rPr>
      </w:pPr>
      <w:r>
        <w:rPr>
          <w:color w:val="000000" w:themeColor="text1"/>
          <w:sz w:val="22"/>
          <w:szCs w:val="22"/>
        </w:rPr>
        <w:t>La norme</w:t>
      </w:r>
      <w:r w:rsidR="000839F7">
        <w:rPr>
          <w:color w:val="000000" w:themeColor="text1"/>
          <w:sz w:val="22"/>
          <w:szCs w:val="22"/>
        </w:rPr>
        <w:t xml:space="preserve"> est en cours de publication</w:t>
      </w:r>
      <w:r w:rsidR="006079B4">
        <w:rPr>
          <w:color w:val="000000" w:themeColor="text1"/>
          <w:sz w:val="22"/>
          <w:szCs w:val="22"/>
        </w:rPr>
        <w:t>. Sa parution est prévue</w:t>
      </w:r>
      <w:r w:rsidR="001D0E6B">
        <w:rPr>
          <w:color w:val="000000" w:themeColor="text1"/>
          <w:sz w:val="22"/>
          <w:szCs w:val="22"/>
        </w:rPr>
        <w:t xml:space="preserve"> pour fin avril 2017.</w:t>
      </w:r>
    </w:p>
    <w:p w14:paraId="267D84C3" w14:textId="77777777" w:rsidR="00173281" w:rsidRPr="00A57952" w:rsidRDefault="00173281" w:rsidP="008B69B6">
      <w:pPr>
        <w:rPr>
          <w:color w:val="FF0000"/>
        </w:rPr>
      </w:pPr>
    </w:p>
    <w:p w14:paraId="2D71E65A" w14:textId="77777777" w:rsidR="004E3E88" w:rsidRPr="00E45E7A" w:rsidRDefault="004E3E88" w:rsidP="004E3E88">
      <w:pPr>
        <w:jc w:val="center"/>
        <w:rPr>
          <w:color w:val="000000" w:themeColor="text1"/>
        </w:rPr>
      </w:pPr>
      <w:r w:rsidRPr="00E45E7A">
        <w:rPr>
          <w:color w:val="000000" w:themeColor="text1"/>
        </w:rPr>
        <w:t>---------------</w:t>
      </w:r>
    </w:p>
    <w:p w14:paraId="385AFEE3" w14:textId="77777777" w:rsidR="00173281" w:rsidRPr="00E45E7A" w:rsidRDefault="00173281" w:rsidP="008B69B6">
      <w:pPr>
        <w:rPr>
          <w:color w:val="000000" w:themeColor="text1"/>
        </w:rPr>
      </w:pPr>
    </w:p>
    <w:p w14:paraId="15F12056" w14:textId="419645CD" w:rsidR="00173281" w:rsidRPr="00E45E7A" w:rsidRDefault="00173281" w:rsidP="00C27443">
      <w:pPr>
        <w:pBdr>
          <w:top w:val="single" w:sz="4" w:space="1" w:color="auto"/>
          <w:left w:val="single" w:sz="4" w:space="4" w:color="auto"/>
          <w:bottom w:val="single" w:sz="4" w:space="1" w:color="auto"/>
          <w:right w:val="single" w:sz="4" w:space="4" w:color="auto"/>
        </w:pBdr>
        <w:rPr>
          <w:b/>
          <w:i/>
          <w:color w:val="000000" w:themeColor="text1"/>
        </w:rPr>
      </w:pPr>
      <w:r w:rsidRPr="00E45E7A">
        <w:rPr>
          <w:b/>
          <w:i/>
          <w:color w:val="000000" w:themeColor="text1"/>
        </w:rPr>
        <w:t>ISO 30408 – Management des directrices sur la gouvernance humaine</w:t>
      </w:r>
    </w:p>
    <w:p w14:paraId="5E723CDC" w14:textId="77777777" w:rsidR="00173281" w:rsidRPr="00E45E7A" w:rsidRDefault="00173281" w:rsidP="008B69B6">
      <w:pPr>
        <w:rPr>
          <w:color w:val="000000" w:themeColor="text1"/>
        </w:rPr>
      </w:pPr>
    </w:p>
    <w:p w14:paraId="2BAD6CE2" w14:textId="04B61CEE" w:rsidR="00173281" w:rsidRDefault="00173281" w:rsidP="00963110">
      <w:pPr>
        <w:jc w:val="both"/>
        <w:rPr>
          <w:color w:val="000000" w:themeColor="text1"/>
          <w:sz w:val="22"/>
          <w:szCs w:val="22"/>
        </w:rPr>
      </w:pPr>
      <w:r w:rsidRPr="00E45E7A">
        <w:rPr>
          <w:color w:val="000000" w:themeColor="text1"/>
          <w:sz w:val="22"/>
          <w:szCs w:val="22"/>
        </w:rPr>
        <w:t xml:space="preserve">Le document </w:t>
      </w:r>
      <w:r w:rsidR="00E45E7A" w:rsidRPr="00E45E7A">
        <w:rPr>
          <w:color w:val="000000" w:themeColor="text1"/>
          <w:sz w:val="22"/>
          <w:szCs w:val="22"/>
        </w:rPr>
        <w:t>a été publié en septembre 2016</w:t>
      </w:r>
      <w:r w:rsidRPr="00E45E7A">
        <w:rPr>
          <w:color w:val="000000" w:themeColor="text1"/>
          <w:sz w:val="22"/>
          <w:szCs w:val="22"/>
        </w:rPr>
        <w:t>.</w:t>
      </w:r>
    </w:p>
    <w:p w14:paraId="71464A8B" w14:textId="77777777" w:rsidR="001F5170" w:rsidRDefault="001F5170" w:rsidP="00963110">
      <w:pPr>
        <w:jc w:val="both"/>
        <w:rPr>
          <w:color w:val="000000" w:themeColor="text1"/>
          <w:sz w:val="22"/>
          <w:szCs w:val="22"/>
        </w:rPr>
      </w:pPr>
    </w:p>
    <w:p w14:paraId="30A6A4F1" w14:textId="04128181" w:rsidR="001F5170" w:rsidRPr="00E45E7A" w:rsidRDefault="001F5170" w:rsidP="00963110">
      <w:pPr>
        <w:jc w:val="both"/>
        <w:rPr>
          <w:i/>
          <w:color w:val="000000" w:themeColor="text1"/>
          <w:sz w:val="22"/>
          <w:szCs w:val="22"/>
        </w:rPr>
      </w:pPr>
      <w:r>
        <w:rPr>
          <w:color w:val="000000" w:themeColor="text1"/>
          <w:sz w:val="22"/>
          <w:szCs w:val="22"/>
        </w:rPr>
        <w:t>Cette norme définit les principes directeurs qui structurent un système de gestion du personnel.</w:t>
      </w:r>
    </w:p>
    <w:p w14:paraId="667A62BB" w14:textId="77777777" w:rsidR="006A44EC" w:rsidRPr="00E45E7A" w:rsidRDefault="006A44EC" w:rsidP="008B69B6">
      <w:pPr>
        <w:rPr>
          <w:i/>
          <w:color w:val="000000" w:themeColor="text1"/>
        </w:rPr>
      </w:pPr>
    </w:p>
    <w:p w14:paraId="059EC9CA" w14:textId="75547678" w:rsidR="004E3E88" w:rsidRPr="00E45E7A" w:rsidRDefault="004E3E88" w:rsidP="004E3E88">
      <w:pPr>
        <w:jc w:val="center"/>
        <w:rPr>
          <w:color w:val="000000" w:themeColor="text1"/>
        </w:rPr>
      </w:pPr>
      <w:r w:rsidRPr="00E45E7A">
        <w:rPr>
          <w:color w:val="000000" w:themeColor="text1"/>
        </w:rPr>
        <w:t>---------------</w:t>
      </w:r>
    </w:p>
    <w:p w14:paraId="614C9739" w14:textId="77777777" w:rsidR="006A44EC" w:rsidRPr="000A0F0F" w:rsidRDefault="006A44EC" w:rsidP="008B69B6">
      <w:pPr>
        <w:rPr>
          <w:color w:val="000000" w:themeColor="text1"/>
        </w:rPr>
      </w:pPr>
    </w:p>
    <w:p w14:paraId="171EE6D0" w14:textId="66EEA35E" w:rsidR="00173281" w:rsidRPr="000A0F0F" w:rsidRDefault="00173281" w:rsidP="006A44EC">
      <w:pPr>
        <w:pBdr>
          <w:top w:val="single" w:sz="4" w:space="1" w:color="auto"/>
          <w:left w:val="single" w:sz="4" w:space="4" w:color="auto"/>
          <w:bottom w:val="single" w:sz="4" w:space="1" w:color="auto"/>
          <w:right w:val="single" w:sz="4" w:space="4" w:color="auto"/>
        </w:pBdr>
        <w:rPr>
          <w:b/>
          <w:i/>
          <w:color w:val="000000" w:themeColor="text1"/>
        </w:rPr>
      </w:pPr>
      <w:r w:rsidRPr="000A0F0F">
        <w:rPr>
          <w:b/>
          <w:i/>
          <w:color w:val="000000" w:themeColor="text1"/>
        </w:rPr>
        <w:t xml:space="preserve">ISO 30409 – </w:t>
      </w:r>
      <w:r w:rsidR="002863B5" w:rsidRPr="000A0F0F">
        <w:rPr>
          <w:b/>
          <w:i/>
          <w:color w:val="000000" w:themeColor="text1"/>
        </w:rPr>
        <w:t>Management des ressources humaines</w:t>
      </w:r>
      <w:r w:rsidRPr="000A0F0F">
        <w:rPr>
          <w:b/>
          <w:i/>
          <w:color w:val="000000" w:themeColor="text1"/>
        </w:rPr>
        <w:t xml:space="preserve"> </w:t>
      </w:r>
      <w:r w:rsidR="002863B5" w:rsidRPr="000A0F0F">
        <w:rPr>
          <w:b/>
          <w:i/>
          <w:color w:val="000000" w:themeColor="text1"/>
        </w:rPr>
        <w:t>–</w:t>
      </w:r>
      <w:r w:rsidRPr="000A0F0F">
        <w:rPr>
          <w:b/>
          <w:i/>
          <w:color w:val="000000" w:themeColor="text1"/>
        </w:rPr>
        <w:t xml:space="preserve"> </w:t>
      </w:r>
      <w:r w:rsidR="002863B5" w:rsidRPr="000A0F0F">
        <w:rPr>
          <w:b/>
          <w:i/>
          <w:color w:val="000000" w:themeColor="text1"/>
        </w:rPr>
        <w:t>Gestion prévisionnelle de la main d’oeuvre</w:t>
      </w:r>
    </w:p>
    <w:p w14:paraId="0436B4E9" w14:textId="77777777" w:rsidR="00173281" w:rsidRPr="000A0F0F" w:rsidRDefault="00173281" w:rsidP="006A44EC">
      <w:pPr>
        <w:jc w:val="both"/>
        <w:rPr>
          <w:i/>
          <w:color w:val="000000" w:themeColor="text1"/>
          <w:sz w:val="22"/>
          <w:szCs w:val="22"/>
        </w:rPr>
      </w:pPr>
    </w:p>
    <w:p w14:paraId="7A46D466" w14:textId="1E849245" w:rsidR="00173281" w:rsidRDefault="00151C7C" w:rsidP="006A44EC">
      <w:pPr>
        <w:jc w:val="both"/>
        <w:rPr>
          <w:color w:val="000000" w:themeColor="text1"/>
          <w:sz w:val="22"/>
          <w:szCs w:val="22"/>
        </w:rPr>
      </w:pPr>
      <w:r>
        <w:rPr>
          <w:color w:val="000000" w:themeColor="text1"/>
          <w:sz w:val="22"/>
          <w:szCs w:val="22"/>
        </w:rPr>
        <w:t>Cette norme a été publiée en septembre 2016</w:t>
      </w:r>
      <w:r w:rsidR="00173281" w:rsidRPr="000A0F0F">
        <w:rPr>
          <w:color w:val="000000" w:themeColor="text1"/>
          <w:sz w:val="22"/>
          <w:szCs w:val="22"/>
        </w:rPr>
        <w:t>.</w:t>
      </w:r>
    </w:p>
    <w:p w14:paraId="54FEDE12" w14:textId="77777777" w:rsidR="001F5170" w:rsidRDefault="001F5170" w:rsidP="006A44EC">
      <w:pPr>
        <w:jc w:val="both"/>
        <w:rPr>
          <w:color w:val="000000" w:themeColor="text1"/>
          <w:sz w:val="22"/>
          <w:szCs w:val="22"/>
        </w:rPr>
      </w:pPr>
    </w:p>
    <w:p w14:paraId="509A38D2" w14:textId="037EF629" w:rsidR="001F5170" w:rsidRPr="000A0F0F" w:rsidRDefault="001F5170" w:rsidP="006A44EC">
      <w:pPr>
        <w:jc w:val="both"/>
        <w:rPr>
          <w:color w:val="000000" w:themeColor="text1"/>
          <w:sz w:val="22"/>
          <w:szCs w:val="22"/>
        </w:rPr>
      </w:pPr>
      <w:r>
        <w:rPr>
          <w:color w:val="000000" w:themeColor="text1"/>
          <w:sz w:val="22"/>
          <w:szCs w:val="22"/>
        </w:rPr>
        <w:t xml:space="preserve">Cette norme est un atout pour aider les organisations à répondre plus efficacement à leurs exigences actuelles et prévisionnelles de main d’œuvre. </w:t>
      </w:r>
    </w:p>
    <w:p w14:paraId="00016AFE" w14:textId="77777777" w:rsidR="00DA020B" w:rsidRPr="00151C7C" w:rsidRDefault="00DA020B" w:rsidP="008B69B6">
      <w:pPr>
        <w:rPr>
          <w:color w:val="000000" w:themeColor="text1"/>
        </w:rPr>
      </w:pPr>
    </w:p>
    <w:p w14:paraId="4451E1E3" w14:textId="77777777" w:rsidR="004E3E88" w:rsidRPr="00151C7C" w:rsidRDefault="004E3E88" w:rsidP="004E3E88">
      <w:pPr>
        <w:jc w:val="center"/>
        <w:rPr>
          <w:color w:val="000000" w:themeColor="text1"/>
        </w:rPr>
      </w:pPr>
      <w:r w:rsidRPr="00151C7C">
        <w:rPr>
          <w:color w:val="000000" w:themeColor="text1"/>
        </w:rPr>
        <w:t>---------------</w:t>
      </w:r>
    </w:p>
    <w:p w14:paraId="0A4F3A27" w14:textId="77777777" w:rsidR="00173281" w:rsidRPr="00151C7C" w:rsidRDefault="00173281" w:rsidP="008B69B6">
      <w:pPr>
        <w:rPr>
          <w:color w:val="000000" w:themeColor="text1"/>
        </w:rPr>
      </w:pPr>
    </w:p>
    <w:p w14:paraId="1C76AFA1" w14:textId="2B366B21" w:rsidR="00173281" w:rsidRPr="00151C7C" w:rsidRDefault="00173281" w:rsidP="00B30E18">
      <w:pPr>
        <w:pBdr>
          <w:top w:val="single" w:sz="4" w:space="1" w:color="auto"/>
          <w:left w:val="single" w:sz="4" w:space="4" w:color="auto"/>
          <w:bottom w:val="single" w:sz="4" w:space="1" w:color="auto"/>
          <w:right w:val="single" w:sz="4" w:space="4" w:color="auto"/>
        </w:pBdr>
        <w:rPr>
          <w:b/>
          <w:i/>
          <w:color w:val="000000" w:themeColor="text1"/>
        </w:rPr>
      </w:pPr>
      <w:r w:rsidRPr="00151C7C">
        <w:rPr>
          <w:b/>
          <w:i/>
          <w:color w:val="000000" w:themeColor="text1"/>
        </w:rPr>
        <w:t>ISO 30410 – Human resource management – Impact of hire metric</w:t>
      </w:r>
    </w:p>
    <w:p w14:paraId="7DFD4DDA" w14:textId="77777777" w:rsidR="00C27443" w:rsidRPr="00151C7C" w:rsidRDefault="00C27443" w:rsidP="008B69B6">
      <w:pPr>
        <w:rPr>
          <w:color w:val="000000" w:themeColor="text1"/>
        </w:rPr>
      </w:pPr>
    </w:p>
    <w:p w14:paraId="7E231253" w14:textId="68CFB61B" w:rsidR="006A44EC" w:rsidRPr="00151C7C" w:rsidRDefault="004E3E88" w:rsidP="004E3E88">
      <w:pPr>
        <w:jc w:val="center"/>
        <w:rPr>
          <w:color w:val="000000" w:themeColor="text1"/>
        </w:rPr>
      </w:pPr>
      <w:r w:rsidRPr="00151C7C">
        <w:rPr>
          <w:color w:val="000000" w:themeColor="text1"/>
        </w:rPr>
        <w:t>---------------</w:t>
      </w:r>
    </w:p>
    <w:p w14:paraId="79A08E71" w14:textId="77777777" w:rsidR="00C27443" w:rsidRPr="00151C7C" w:rsidRDefault="00C27443" w:rsidP="008B69B6">
      <w:pPr>
        <w:rPr>
          <w:color w:val="000000" w:themeColor="text1"/>
        </w:rPr>
      </w:pPr>
    </w:p>
    <w:p w14:paraId="1F8574C5" w14:textId="344A8AA0" w:rsidR="00C27443" w:rsidRPr="00151C7C" w:rsidRDefault="00C27443" w:rsidP="00C27443">
      <w:pPr>
        <w:pBdr>
          <w:top w:val="single" w:sz="4" w:space="1" w:color="auto"/>
          <w:left w:val="single" w:sz="4" w:space="4" w:color="auto"/>
          <w:bottom w:val="single" w:sz="4" w:space="1" w:color="auto"/>
          <w:right w:val="single" w:sz="4" w:space="4" w:color="auto"/>
        </w:pBdr>
        <w:rPr>
          <w:b/>
          <w:i/>
          <w:color w:val="000000" w:themeColor="text1"/>
        </w:rPr>
      </w:pPr>
      <w:r w:rsidRPr="00151C7C">
        <w:rPr>
          <w:b/>
          <w:i/>
          <w:color w:val="000000" w:themeColor="text1"/>
        </w:rPr>
        <w:t>ISO 30411 _ Human resource management – Quality of hire</w:t>
      </w:r>
    </w:p>
    <w:p w14:paraId="6AC13805" w14:textId="77777777" w:rsidR="00DA020B" w:rsidRPr="00151C7C" w:rsidRDefault="00DA020B" w:rsidP="00963110">
      <w:pPr>
        <w:jc w:val="both"/>
        <w:rPr>
          <w:color w:val="000000" w:themeColor="text1"/>
        </w:rPr>
      </w:pPr>
    </w:p>
    <w:p w14:paraId="038A1C61" w14:textId="77777777" w:rsidR="004E3E88" w:rsidRPr="00151C7C" w:rsidRDefault="004E3E88" w:rsidP="004E3E88">
      <w:pPr>
        <w:jc w:val="center"/>
        <w:rPr>
          <w:color w:val="000000" w:themeColor="text1"/>
        </w:rPr>
      </w:pPr>
      <w:r w:rsidRPr="00151C7C">
        <w:rPr>
          <w:color w:val="000000" w:themeColor="text1"/>
        </w:rPr>
        <w:t>---------------</w:t>
      </w:r>
    </w:p>
    <w:p w14:paraId="48825519" w14:textId="77777777" w:rsidR="00C27443" w:rsidRPr="00151C7C" w:rsidRDefault="00C27443" w:rsidP="008B69B6">
      <w:pPr>
        <w:rPr>
          <w:color w:val="000000" w:themeColor="text1"/>
        </w:rPr>
      </w:pPr>
    </w:p>
    <w:p w14:paraId="4B078DED" w14:textId="41FF99CD" w:rsidR="00C27443" w:rsidRPr="00151C7C" w:rsidRDefault="00C27443" w:rsidP="00C27443">
      <w:pPr>
        <w:pBdr>
          <w:top w:val="single" w:sz="4" w:space="1" w:color="auto"/>
          <w:left w:val="single" w:sz="4" w:space="4" w:color="auto"/>
          <w:bottom w:val="single" w:sz="4" w:space="1" w:color="auto"/>
          <w:right w:val="single" w:sz="4" w:space="4" w:color="auto"/>
        </w:pBdr>
        <w:rPr>
          <w:b/>
          <w:i/>
          <w:color w:val="000000" w:themeColor="text1"/>
        </w:rPr>
      </w:pPr>
      <w:r w:rsidRPr="00151C7C">
        <w:rPr>
          <w:b/>
          <w:i/>
          <w:color w:val="000000" w:themeColor="text1"/>
        </w:rPr>
        <w:t>ISO 30412 – Human resource management – Retention metric</w:t>
      </w:r>
    </w:p>
    <w:p w14:paraId="4D78D4DC" w14:textId="77777777" w:rsidR="00C27443" w:rsidRPr="00151C7C" w:rsidRDefault="00C27443" w:rsidP="008B69B6">
      <w:pPr>
        <w:rPr>
          <w:color w:val="000000" w:themeColor="text1"/>
        </w:rPr>
      </w:pPr>
    </w:p>
    <w:p w14:paraId="646F5E4C" w14:textId="77777777" w:rsidR="004E3E88" w:rsidRPr="00151C7C" w:rsidRDefault="004E3E88" w:rsidP="004E3E88">
      <w:pPr>
        <w:jc w:val="center"/>
        <w:rPr>
          <w:color w:val="000000" w:themeColor="text1"/>
        </w:rPr>
      </w:pPr>
      <w:r w:rsidRPr="00151C7C">
        <w:rPr>
          <w:color w:val="000000" w:themeColor="text1"/>
        </w:rPr>
        <w:lastRenderedPageBreak/>
        <w:t>---------------</w:t>
      </w:r>
    </w:p>
    <w:p w14:paraId="2F8AD05E" w14:textId="77777777" w:rsidR="00C27443" w:rsidRPr="00151C7C" w:rsidRDefault="00C27443" w:rsidP="008B69B6">
      <w:pPr>
        <w:rPr>
          <w:color w:val="000000" w:themeColor="text1"/>
        </w:rPr>
      </w:pPr>
    </w:p>
    <w:p w14:paraId="7B6874D2" w14:textId="791EAAF5" w:rsidR="00C27443" w:rsidRPr="00151C7C" w:rsidRDefault="00C27443" w:rsidP="00C27443">
      <w:pPr>
        <w:pBdr>
          <w:top w:val="single" w:sz="4" w:space="1" w:color="auto"/>
          <w:left w:val="single" w:sz="4" w:space="4" w:color="auto"/>
          <w:bottom w:val="single" w:sz="4" w:space="1" w:color="auto"/>
          <w:right w:val="single" w:sz="4" w:space="4" w:color="auto"/>
        </w:pBdr>
        <w:rPr>
          <w:b/>
          <w:i/>
          <w:color w:val="000000" w:themeColor="text1"/>
        </w:rPr>
      </w:pPr>
      <w:r w:rsidRPr="00151C7C">
        <w:rPr>
          <w:b/>
          <w:i/>
          <w:color w:val="000000" w:themeColor="text1"/>
        </w:rPr>
        <w:t>ISO 30413 – Human resource management – Turn-over metric</w:t>
      </w:r>
    </w:p>
    <w:p w14:paraId="2891673A" w14:textId="77777777" w:rsidR="00C27443" w:rsidRPr="00151C7C" w:rsidRDefault="00C27443" w:rsidP="008B69B6">
      <w:pPr>
        <w:rPr>
          <w:color w:val="000000" w:themeColor="text1"/>
        </w:rPr>
      </w:pPr>
    </w:p>
    <w:p w14:paraId="74F46D23" w14:textId="72E582C5" w:rsidR="00CC6107" w:rsidRPr="00151C7C" w:rsidRDefault="00151C7C" w:rsidP="00CC6107">
      <w:pPr>
        <w:jc w:val="both"/>
        <w:rPr>
          <w:color w:val="000000" w:themeColor="text1"/>
          <w:sz w:val="22"/>
          <w:szCs w:val="22"/>
        </w:rPr>
      </w:pPr>
      <w:r>
        <w:rPr>
          <w:color w:val="000000" w:themeColor="text1"/>
          <w:sz w:val="22"/>
          <w:szCs w:val="22"/>
        </w:rPr>
        <w:t>Les travaux de rédaction</w:t>
      </w:r>
      <w:r w:rsidR="006079B4">
        <w:rPr>
          <w:color w:val="000000" w:themeColor="text1"/>
          <w:sz w:val="22"/>
          <w:szCs w:val="22"/>
        </w:rPr>
        <w:t xml:space="preserve"> de ces quatre documents</w:t>
      </w:r>
      <w:r>
        <w:rPr>
          <w:color w:val="000000" w:themeColor="text1"/>
          <w:sz w:val="22"/>
          <w:szCs w:val="22"/>
        </w:rPr>
        <w:t xml:space="preserve"> </w:t>
      </w:r>
      <w:r w:rsidR="00811FE6">
        <w:rPr>
          <w:color w:val="000000" w:themeColor="text1"/>
          <w:sz w:val="22"/>
          <w:szCs w:val="22"/>
        </w:rPr>
        <w:t xml:space="preserve">(ISO 30410 à I30413) </w:t>
      </w:r>
      <w:r>
        <w:rPr>
          <w:color w:val="000000" w:themeColor="text1"/>
          <w:sz w:val="22"/>
          <w:szCs w:val="22"/>
        </w:rPr>
        <w:t xml:space="preserve">sont en retard. </w:t>
      </w:r>
    </w:p>
    <w:p w14:paraId="3D87E247" w14:textId="77777777" w:rsidR="0054519A" w:rsidRDefault="0054519A" w:rsidP="00CC6107">
      <w:pPr>
        <w:jc w:val="both"/>
        <w:rPr>
          <w:color w:val="000000" w:themeColor="text1"/>
          <w:sz w:val="22"/>
          <w:szCs w:val="22"/>
        </w:rPr>
      </w:pPr>
    </w:p>
    <w:p w14:paraId="10E1CD86" w14:textId="77777777" w:rsidR="0054519A" w:rsidRPr="00E02010" w:rsidRDefault="0054519A" w:rsidP="0054519A">
      <w:pPr>
        <w:jc w:val="center"/>
        <w:rPr>
          <w:color w:val="000000" w:themeColor="text1"/>
        </w:rPr>
      </w:pPr>
      <w:r w:rsidRPr="00E02010">
        <w:rPr>
          <w:color w:val="000000" w:themeColor="text1"/>
        </w:rPr>
        <w:t>---------------</w:t>
      </w:r>
    </w:p>
    <w:p w14:paraId="5ADF6C5F" w14:textId="77777777" w:rsidR="0054519A" w:rsidRDefault="0054519A" w:rsidP="00CC6107">
      <w:pPr>
        <w:jc w:val="both"/>
        <w:rPr>
          <w:color w:val="000000" w:themeColor="text1"/>
          <w:sz w:val="22"/>
          <w:szCs w:val="22"/>
        </w:rPr>
      </w:pPr>
    </w:p>
    <w:p w14:paraId="5FC42555" w14:textId="5B23CE5A" w:rsidR="006079B4" w:rsidRDefault="0054519A" w:rsidP="006079B4">
      <w:pPr>
        <w:jc w:val="both"/>
        <w:rPr>
          <w:color w:val="000000" w:themeColor="text1"/>
          <w:sz w:val="22"/>
          <w:szCs w:val="22"/>
        </w:rPr>
      </w:pPr>
      <w:r w:rsidRPr="0054519A">
        <w:rPr>
          <w:b/>
          <w:color w:val="000000" w:themeColor="text1"/>
          <w:sz w:val="22"/>
          <w:szCs w:val="22"/>
        </w:rPr>
        <w:t>A noter </w:t>
      </w:r>
      <w:r>
        <w:rPr>
          <w:color w:val="000000" w:themeColor="text1"/>
          <w:sz w:val="22"/>
          <w:szCs w:val="22"/>
        </w:rPr>
        <w:t xml:space="preserve">: les 4 projets de normes ISO 30410 à 30413 devraient être réunis dans un seul et même document ayant un statut de rapport technique (TS comme technical specification). </w:t>
      </w:r>
      <w:r w:rsidR="006079B4" w:rsidRPr="00151C7C">
        <w:rPr>
          <w:color w:val="000000" w:themeColor="text1"/>
          <w:sz w:val="22"/>
          <w:szCs w:val="22"/>
        </w:rPr>
        <w:t>L</w:t>
      </w:r>
      <w:r w:rsidR="006079B4">
        <w:rPr>
          <w:color w:val="000000" w:themeColor="text1"/>
          <w:sz w:val="22"/>
          <w:szCs w:val="22"/>
        </w:rPr>
        <w:t>eur</w:t>
      </w:r>
      <w:r w:rsidR="006079B4" w:rsidRPr="00151C7C">
        <w:rPr>
          <w:color w:val="000000" w:themeColor="text1"/>
          <w:sz w:val="22"/>
          <w:szCs w:val="22"/>
        </w:rPr>
        <w:t xml:space="preserve"> date de publication est fixée pour mars 2018</w:t>
      </w:r>
      <w:r w:rsidR="006079B4">
        <w:rPr>
          <w:color w:val="000000" w:themeColor="text1"/>
          <w:sz w:val="22"/>
          <w:szCs w:val="22"/>
        </w:rPr>
        <w:t xml:space="preserve"> au plus tard</w:t>
      </w:r>
      <w:r w:rsidR="006079B4" w:rsidRPr="00151C7C">
        <w:rPr>
          <w:color w:val="000000" w:themeColor="text1"/>
          <w:sz w:val="22"/>
          <w:szCs w:val="22"/>
        </w:rPr>
        <w:t>.</w:t>
      </w:r>
    </w:p>
    <w:p w14:paraId="484D57F8" w14:textId="342AC13C" w:rsidR="0054519A" w:rsidRPr="00151C7C" w:rsidRDefault="0054519A" w:rsidP="00CC6107">
      <w:pPr>
        <w:jc w:val="both"/>
        <w:rPr>
          <w:color w:val="000000" w:themeColor="text1"/>
          <w:sz w:val="22"/>
          <w:szCs w:val="22"/>
        </w:rPr>
      </w:pPr>
    </w:p>
    <w:p w14:paraId="1C098DE5" w14:textId="77777777" w:rsidR="00DA020B" w:rsidRPr="00151C7C" w:rsidRDefault="00DA020B" w:rsidP="008B69B6">
      <w:pPr>
        <w:rPr>
          <w:color w:val="000000" w:themeColor="text1"/>
        </w:rPr>
      </w:pPr>
    </w:p>
    <w:p w14:paraId="1F817822" w14:textId="77777777" w:rsidR="004E3E88" w:rsidRPr="00E02010" w:rsidRDefault="004E3E88" w:rsidP="004E3E88">
      <w:pPr>
        <w:jc w:val="center"/>
        <w:rPr>
          <w:color w:val="000000" w:themeColor="text1"/>
        </w:rPr>
      </w:pPr>
      <w:r w:rsidRPr="00E02010">
        <w:rPr>
          <w:color w:val="000000" w:themeColor="text1"/>
        </w:rPr>
        <w:t>---------------</w:t>
      </w:r>
    </w:p>
    <w:p w14:paraId="2DB700B6" w14:textId="77777777" w:rsidR="00C27443" w:rsidRPr="00E02010" w:rsidRDefault="00C27443" w:rsidP="008B69B6">
      <w:pPr>
        <w:rPr>
          <w:color w:val="000000" w:themeColor="text1"/>
        </w:rPr>
      </w:pPr>
    </w:p>
    <w:p w14:paraId="60A319F6" w14:textId="2939D77D" w:rsidR="00C27443" w:rsidRPr="00E02010" w:rsidRDefault="00C27443" w:rsidP="00C27443">
      <w:pPr>
        <w:pBdr>
          <w:top w:val="single" w:sz="4" w:space="1" w:color="auto"/>
          <w:left w:val="single" w:sz="4" w:space="4" w:color="auto"/>
          <w:bottom w:val="single" w:sz="4" w:space="1" w:color="auto"/>
          <w:right w:val="single" w:sz="4" w:space="4" w:color="auto"/>
        </w:pBdr>
        <w:rPr>
          <w:b/>
          <w:i/>
          <w:color w:val="000000" w:themeColor="text1"/>
        </w:rPr>
      </w:pPr>
      <w:r w:rsidRPr="00E02010">
        <w:rPr>
          <w:b/>
          <w:i/>
          <w:color w:val="000000" w:themeColor="text1"/>
        </w:rPr>
        <w:t xml:space="preserve">ISO </w:t>
      </w:r>
      <w:r w:rsidR="00E02010" w:rsidRPr="00E02010">
        <w:rPr>
          <w:b/>
          <w:i/>
          <w:color w:val="000000" w:themeColor="text1"/>
        </w:rPr>
        <w:t>30414</w:t>
      </w:r>
      <w:r w:rsidRPr="00E02010">
        <w:rPr>
          <w:b/>
          <w:i/>
          <w:color w:val="000000" w:themeColor="text1"/>
        </w:rPr>
        <w:t xml:space="preserve"> – Human capital reporting</w:t>
      </w:r>
      <w:r w:rsidR="00E02010">
        <w:rPr>
          <w:b/>
          <w:i/>
          <w:color w:val="000000" w:themeColor="text1"/>
        </w:rPr>
        <w:t xml:space="preserve"> for internal and external stakeholders</w:t>
      </w:r>
    </w:p>
    <w:p w14:paraId="641C47B3" w14:textId="77777777" w:rsidR="00285D18" w:rsidRPr="00E02010" w:rsidRDefault="00285D18" w:rsidP="00963110">
      <w:pPr>
        <w:jc w:val="both"/>
        <w:rPr>
          <w:i/>
          <w:color w:val="000000" w:themeColor="text1"/>
          <w:sz w:val="22"/>
          <w:szCs w:val="22"/>
        </w:rPr>
      </w:pPr>
    </w:p>
    <w:p w14:paraId="2BF799BC" w14:textId="07B02D5D" w:rsidR="00285D18" w:rsidRDefault="00E02010" w:rsidP="00963110">
      <w:pPr>
        <w:jc w:val="both"/>
        <w:rPr>
          <w:color w:val="000000" w:themeColor="text1"/>
          <w:sz w:val="22"/>
          <w:szCs w:val="22"/>
        </w:rPr>
      </w:pPr>
      <w:r>
        <w:rPr>
          <w:color w:val="000000" w:themeColor="text1"/>
          <w:sz w:val="22"/>
          <w:szCs w:val="22"/>
        </w:rPr>
        <w:t>Un premier projet de document circule auprès des experts</w:t>
      </w:r>
      <w:r w:rsidR="006079B4">
        <w:rPr>
          <w:color w:val="000000" w:themeColor="text1"/>
          <w:sz w:val="22"/>
          <w:szCs w:val="22"/>
        </w:rPr>
        <w:t xml:space="preserve"> avant envoi au vote CD</w:t>
      </w:r>
      <w:r w:rsidR="00285D18" w:rsidRPr="00E02010">
        <w:rPr>
          <w:color w:val="000000" w:themeColor="text1"/>
          <w:sz w:val="22"/>
          <w:szCs w:val="22"/>
        </w:rPr>
        <w:t>.</w:t>
      </w:r>
    </w:p>
    <w:p w14:paraId="3C5F6BFD" w14:textId="77777777" w:rsidR="000839F7" w:rsidRDefault="000839F7" w:rsidP="00963110">
      <w:pPr>
        <w:jc w:val="both"/>
        <w:rPr>
          <w:color w:val="000000" w:themeColor="text1"/>
          <w:sz w:val="22"/>
          <w:szCs w:val="22"/>
        </w:rPr>
      </w:pPr>
    </w:p>
    <w:p w14:paraId="33BEA97E" w14:textId="16D12656" w:rsidR="000839F7" w:rsidRDefault="000839F7" w:rsidP="00963110">
      <w:pPr>
        <w:jc w:val="both"/>
        <w:rPr>
          <w:color w:val="000000" w:themeColor="text1"/>
          <w:sz w:val="22"/>
          <w:szCs w:val="22"/>
        </w:rPr>
      </w:pPr>
      <w:r>
        <w:rPr>
          <w:color w:val="000000" w:themeColor="text1"/>
          <w:sz w:val="22"/>
          <w:szCs w:val="22"/>
        </w:rPr>
        <w:t xml:space="preserve">Le sommaire est le suivant : </w:t>
      </w:r>
    </w:p>
    <w:p w14:paraId="1EFE24A9" w14:textId="1135493F" w:rsidR="000839F7" w:rsidRDefault="000839F7" w:rsidP="000839F7">
      <w:pPr>
        <w:pStyle w:val="Pardeliste"/>
        <w:numPr>
          <w:ilvl w:val="0"/>
          <w:numId w:val="14"/>
        </w:numPr>
        <w:jc w:val="both"/>
        <w:rPr>
          <w:color w:val="000000" w:themeColor="text1"/>
          <w:sz w:val="22"/>
          <w:szCs w:val="22"/>
        </w:rPr>
      </w:pPr>
      <w:r>
        <w:rPr>
          <w:color w:val="000000" w:themeColor="text1"/>
          <w:sz w:val="22"/>
          <w:szCs w:val="22"/>
        </w:rPr>
        <w:t xml:space="preserve">§ 1 – Scope </w:t>
      </w:r>
    </w:p>
    <w:p w14:paraId="4447A4A4" w14:textId="7B7B32A5" w:rsidR="000839F7" w:rsidRDefault="000839F7" w:rsidP="000839F7">
      <w:pPr>
        <w:pStyle w:val="Pardeliste"/>
        <w:numPr>
          <w:ilvl w:val="0"/>
          <w:numId w:val="14"/>
        </w:numPr>
        <w:jc w:val="both"/>
        <w:rPr>
          <w:color w:val="000000" w:themeColor="text1"/>
          <w:sz w:val="22"/>
          <w:szCs w:val="22"/>
        </w:rPr>
      </w:pPr>
      <w:r>
        <w:rPr>
          <w:color w:val="000000" w:themeColor="text1"/>
          <w:sz w:val="22"/>
          <w:szCs w:val="22"/>
        </w:rPr>
        <w:t>§ 2 - Normative references</w:t>
      </w:r>
    </w:p>
    <w:p w14:paraId="2BB936E1" w14:textId="2B9CB863" w:rsidR="000839F7" w:rsidRDefault="000839F7" w:rsidP="000839F7">
      <w:pPr>
        <w:pStyle w:val="Pardeliste"/>
        <w:numPr>
          <w:ilvl w:val="0"/>
          <w:numId w:val="14"/>
        </w:numPr>
        <w:jc w:val="both"/>
        <w:rPr>
          <w:color w:val="000000" w:themeColor="text1"/>
          <w:sz w:val="22"/>
          <w:szCs w:val="22"/>
        </w:rPr>
      </w:pPr>
      <w:r>
        <w:rPr>
          <w:color w:val="000000" w:themeColor="text1"/>
          <w:sz w:val="22"/>
          <w:szCs w:val="22"/>
        </w:rPr>
        <w:t xml:space="preserve">§ 3 – Terms and definitions </w:t>
      </w:r>
    </w:p>
    <w:p w14:paraId="1A939A8C" w14:textId="5BC97197" w:rsidR="000839F7" w:rsidRDefault="000839F7" w:rsidP="000839F7">
      <w:pPr>
        <w:pStyle w:val="Pardeliste"/>
        <w:numPr>
          <w:ilvl w:val="0"/>
          <w:numId w:val="14"/>
        </w:numPr>
        <w:jc w:val="both"/>
        <w:rPr>
          <w:color w:val="000000" w:themeColor="text1"/>
          <w:sz w:val="22"/>
          <w:szCs w:val="22"/>
        </w:rPr>
      </w:pPr>
      <w:r>
        <w:rPr>
          <w:color w:val="000000" w:themeColor="text1"/>
          <w:sz w:val="22"/>
          <w:szCs w:val="22"/>
        </w:rPr>
        <w:t xml:space="preserve">§ 4 – Human capital reporting process </w:t>
      </w:r>
    </w:p>
    <w:p w14:paraId="5523DC5B" w14:textId="37364F9D" w:rsidR="000839F7" w:rsidRDefault="000839F7" w:rsidP="000839F7">
      <w:pPr>
        <w:pStyle w:val="Pardeliste"/>
        <w:numPr>
          <w:ilvl w:val="1"/>
          <w:numId w:val="14"/>
        </w:numPr>
        <w:jc w:val="both"/>
        <w:rPr>
          <w:color w:val="000000" w:themeColor="text1"/>
          <w:sz w:val="22"/>
          <w:szCs w:val="22"/>
        </w:rPr>
      </w:pPr>
      <w:r>
        <w:rPr>
          <w:color w:val="000000" w:themeColor="text1"/>
          <w:sz w:val="22"/>
          <w:szCs w:val="22"/>
        </w:rPr>
        <w:t xml:space="preserve">4.1 – General </w:t>
      </w:r>
    </w:p>
    <w:p w14:paraId="39991347" w14:textId="7208C09B" w:rsidR="000839F7" w:rsidRDefault="000839F7" w:rsidP="000839F7">
      <w:pPr>
        <w:pStyle w:val="Pardeliste"/>
        <w:numPr>
          <w:ilvl w:val="1"/>
          <w:numId w:val="14"/>
        </w:numPr>
        <w:jc w:val="both"/>
        <w:rPr>
          <w:color w:val="000000" w:themeColor="text1"/>
          <w:sz w:val="22"/>
          <w:szCs w:val="22"/>
        </w:rPr>
      </w:pPr>
      <w:r>
        <w:rPr>
          <w:color w:val="000000" w:themeColor="text1"/>
          <w:sz w:val="22"/>
          <w:szCs w:val="22"/>
        </w:rPr>
        <w:t xml:space="preserve">4.2 </w:t>
      </w:r>
      <w:r w:rsidR="00E24D92">
        <w:rPr>
          <w:color w:val="000000" w:themeColor="text1"/>
          <w:sz w:val="22"/>
          <w:szCs w:val="22"/>
        </w:rPr>
        <w:t>–</w:t>
      </w:r>
      <w:r>
        <w:rPr>
          <w:color w:val="000000" w:themeColor="text1"/>
          <w:sz w:val="22"/>
          <w:szCs w:val="22"/>
        </w:rPr>
        <w:t xml:space="preserve"> </w:t>
      </w:r>
      <w:r w:rsidR="00E24D92">
        <w:rPr>
          <w:color w:val="000000" w:themeColor="text1"/>
          <w:sz w:val="22"/>
          <w:szCs w:val="22"/>
        </w:rPr>
        <w:t xml:space="preserve">Guiding principles </w:t>
      </w:r>
    </w:p>
    <w:p w14:paraId="6CDCE9F8" w14:textId="35099C46" w:rsidR="00E24D92" w:rsidRDefault="00E24D92" w:rsidP="000839F7">
      <w:pPr>
        <w:pStyle w:val="Pardeliste"/>
        <w:numPr>
          <w:ilvl w:val="1"/>
          <w:numId w:val="14"/>
        </w:numPr>
        <w:jc w:val="both"/>
        <w:rPr>
          <w:color w:val="000000" w:themeColor="text1"/>
          <w:sz w:val="22"/>
          <w:szCs w:val="22"/>
        </w:rPr>
      </w:pPr>
      <w:r>
        <w:rPr>
          <w:color w:val="000000" w:themeColor="text1"/>
          <w:sz w:val="22"/>
          <w:szCs w:val="22"/>
        </w:rPr>
        <w:t xml:space="preserve">4.3 – Target groups and stakeholders relevance </w:t>
      </w:r>
    </w:p>
    <w:p w14:paraId="52DAF584" w14:textId="210E0215" w:rsidR="00E24D92" w:rsidRDefault="00E24D92" w:rsidP="000839F7">
      <w:pPr>
        <w:pStyle w:val="Pardeliste"/>
        <w:numPr>
          <w:ilvl w:val="1"/>
          <w:numId w:val="14"/>
        </w:numPr>
        <w:jc w:val="both"/>
        <w:rPr>
          <w:color w:val="000000" w:themeColor="text1"/>
          <w:sz w:val="22"/>
          <w:szCs w:val="22"/>
        </w:rPr>
      </w:pPr>
      <w:r>
        <w:rPr>
          <w:color w:val="000000" w:themeColor="text1"/>
          <w:sz w:val="22"/>
          <w:szCs w:val="22"/>
        </w:rPr>
        <w:t xml:space="preserve">4.4 – Tools and procedures for date collection </w:t>
      </w:r>
    </w:p>
    <w:p w14:paraId="5F1927F1" w14:textId="77777777" w:rsidR="00E24D92" w:rsidRDefault="00E24D92" w:rsidP="000839F7">
      <w:pPr>
        <w:pStyle w:val="Pardeliste"/>
        <w:numPr>
          <w:ilvl w:val="1"/>
          <w:numId w:val="14"/>
        </w:numPr>
        <w:jc w:val="both"/>
        <w:rPr>
          <w:color w:val="000000" w:themeColor="text1"/>
          <w:sz w:val="22"/>
          <w:szCs w:val="22"/>
        </w:rPr>
      </w:pPr>
      <w:r>
        <w:rPr>
          <w:color w:val="000000" w:themeColor="text1"/>
          <w:sz w:val="22"/>
          <w:szCs w:val="22"/>
        </w:rPr>
        <w:t>4.5 – Reporting structure</w:t>
      </w:r>
    </w:p>
    <w:p w14:paraId="13196EB8" w14:textId="77777777"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4.5.1 – Internal and external reporting </w:t>
      </w:r>
    </w:p>
    <w:p w14:paraId="53E8B253" w14:textId="4465EDD9"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4.5.2 – Comparability of reporting  </w:t>
      </w:r>
    </w:p>
    <w:p w14:paraId="4AA15916" w14:textId="7DB38885" w:rsidR="00E24D92" w:rsidRDefault="00E24D92" w:rsidP="000839F7">
      <w:pPr>
        <w:pStyle w:val="Pardeliste"/>
        <w:numPr>
          <w:ilvl w:val="1"/>
          <w:numId w:val="14"/>
        </w:numPr>
        <w:jc w:val="both"/>
        <w:rPr>
          <w:color w:val="000000" w:themeColor="text1"/>
          <w:sz w:val="22"/>
          <w:szCs w:val="22"/>
        </w:rPr>
      </w:pPr>
      <w:r>
        <w:rPr>
          <w:color w:val="000000" w:themeColor="text1"/>
          <w:sz w:val="22"/>
          <w:szCs w:val="22"/>
        </w:rPr>
        <w:t xml:space="preserve">4.6 – Risk management </w:t>
      </w:r>
    </w:p>
    <w:p w14:paraId="647BD552" w14:textId="42069B7D" w:rsidR="00E24D92" w:rsidRDefault="00E24D92" w:rsidP="000839F7">
      <w:pPr>
        <w:pStyle w:val="Pardeliste"/>
        <w:numPr>
          <w:ilvl w:val="1"/>
          <w:numId w:val="14"/>
        </w:numPr>
        <w:jc w:val="both"/>
        <w:rPr>
          <w:color w:val="000000" w:themeColor="text1"/>
          <w:sz w:val="22"/>
          <w:szCs w:val="22"/>
        </w:rPr>
      </w:pPr>
      <w:r>
        <w:rPr>
          <w:color w:val="000000" w:themeColor="text1"/>
          <w:sz w:val="22"/>
          <w:szCs w:val="22"/>
        </w:rPr>
        <w:t>4.7 – Reporting areas (including metrics)</w:t>
      </w:r>
    </w:p>
    <w:p w14:paraId="15627EB8" w14:textId="17616519"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4.7.1 – General </w:t>
      </w:r>
    </w:p>
    <w:p w14:paraId="0E702AC1" w14:textId="37FCE2A8"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4.7.2 – Availability </w:t>
      </w:r>
    </w:p>
    <w:p w14:paraId="7B900AEA" w14:textId="1F242C6B"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4.7.3 – Compliance </w:t>
      </w:r>
    </w:p>
    <w:p w14:paraId="49C8C888" w14:textId="7CDD0922"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4.7.4 – Costs </w:t>
      </w:r>
    </w:p>
    <w:p w14:paraId="46B45610" w14:textId="094B14FE"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4.7.5 – Diversity </w:t>
      </w:r>
    </w:p>
    <w:p w14:paraId="207100EF" w14:textId="2E386B15"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lastRenderedPageBreak/>
        <w:t xml:space="preserve">4.7.6 – Leadership </w:t>
      </w:r>
    </w:p>
    <w:p w14:paraId="4570C554" w14:textId="176E62F6"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4.7.7 – Occupational health and safety </w:t>
      </w:r>
    </w:p>
    <w:p w14:paraId="0D552B64" w14:textId="6C38B792"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4.7.8 – Organization. culture</w:t>
      </w:r>
    </w:p>
    <w:p w14:paraId="6B894D2E" w14:textId="0A66E795"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 xml:space="preserve">4.7.9 – Productivity </w:t>
      </w:r>
    </w:p>
    <w:p w14:paraId="28CEFB00" w14:textId="4422F592" w:rsidR="00E24D92" w:rsidRDefault="00E24D92" w:rsidP="00E24D92">
      <w:pPr>
        <w:pStyle w:val="Pardeliste"/>
        <w:numPr>
          <w:ilvl w:val="2"/>
          <w:numId w:val="14"/>
        </w:numPr>
        <w:jc w:val="both"/>
        <w:rPr>
          <w:color w:val="000000" w:themeColor="text1"/>
          <w:sz w:val="22"/>
          <w:szCs w:val="22"/>
        </w:rPr>
      </w:pPr>
      <w:r>
        <w:rPr>
          <w:color w:val="000000" w:themeColor="text1"/>
          <w:sz w:val="22"/>
          <w:szCs w:val="22"/>
        </w:rPr>
        <w:t>4.7.10 – Recruitment, mobility and turnover</w:t>
      </w:r>
    </w:p>
    <w:p w14:paraId="2C1BCFFB" w14:textId="1AFED074" w:rsidR="00E24D92" w:rsidRDefault="00E24D92" w:rsidP="000839F7">
      <w:pPr>
        <w:pStyle w:val="Pardeliste"/>
        <w:numPr>
          <w:ilvl w:val="1"/>
          <w:numId w:val="14"/>
        </w:numPr>
        <w:jc w:val="both"/>
        <w:rPr>
          <w:color w:val="000000" w:themeColor="text1"/>
          <w:sz w:val="22"/>
          <w:szCs w:val="22"/>
        </w:rPr>
      </w:pPr>
      <w:r>
        <w:rPr>
          <w:color w:val="000000" w:themeColor="text1"/>
          <w:sz w:val="22"/>
          <w:szCs w:val="22"/>
        </w:rPr>
        <w:t xml:space="preserve">4.8 – Reporting documents </w:t>
      </w:r>
    </w:p>
    <w:p w14:paraId="040A522A" w14:textId="4395A649" w:rsidR="00E24D92" w:rsidRDefault="00E24D92" w:rsidP="000839F7">
      <w:pPr>
        <w:pStyle w:val="Pardeliste"/>
        <w:numPr>
          <w:ilvl w:val="1"/>
          <w:numId w:val="14"/>
        </w:numPr>
        <w:jc w:val="both"/>
        <w:rPr>
          <w:color w:val="000000" w:themeColor="text1"/>
          <w:sz w:val="22"/>
          <w:szCs w:val="22"/>
        </w:rPr>
      </w:pPr>
      <w:r>
        <w:rPr>
          <w:color w:val="000000" w:themeColor="text1"/>
          <w:sz w:val="22"/>
          <w:szCs w:val="22"/>
        </w:rPr>
        <w:t>4.9 – Reporting frequency</w:t>
      </w:r>
    </w:p>
    <w:p w14:paraId="188EDB1E" w14:textId="77777777" w:rsidR="00336D6B" w:rsidRDefault="00336D6B" w:rsidP="00336D6B">
      <w:pPr>
        <w:jc w:val="both"/>
        <w:rPr>
          <w:color w:val="000000" w:themeColor="text1"/>
          <w:sz w:val="22"/>
          <w:szCs w:val="22"/>
        </w:rPr>
      </w:pPr>
    </w:p>
    <w:p w14:paraId="51B70BE9" w14:textId="7A5C7654" w:rsidR="00336D6B" w:rsidRDefault="00464FCC" w:rsidP="00336D6B">
      <w:pPr>
        <w:jc w:val="both"/>
        <w:rPr>
          <w:color w:val="000000" w:themeColor="text1"/>
          <w:sz w:val="22"/>
          <w:szCs w:val="22"/>
        </w:rPr>
      </w:pPr>
      <w:r>
        <w:rPr>
          <w:color w:val="000000" w:themeColor="text1"/>
          <w:sz w:val="22"/>
          <w:szCs w:val="22"/>
        </w:rPr>
        <w:t xml:space="preserve">Deux </w:t>
      </w:r>
      <w:r w:rsidR="00336D6B">
        <w:rPr>
          <w:color w:val="000000" w:themeColor="text1"/>
          <w:sz w:val="22"/>
          <w:szCs w:val="22"/>
        </w:rPr>
        <w:t xml:space="preserve">documents </w:t>
      </w:r>
      <w:r>
        <w:rPr>
          <w:color w:val="000000" w:themeColor="text1"/>
          <w:sz w:val="22"/>
          <w:szCs w:val="22"/>
        </w:rPr>
        <w:t xml:space="preserve">viennent enrichir ce sujet : </w:t>
      </w:r>
    </w:p>
    <w:p w14:paraId="08F9AC16" w14:textId="4638D948" w:rsidR="00464FCC" w:rsidRDefault="00464FCC" w:rsidP="00464FCC">
      <w:pPr>
        <w:pStyle w:val="Pardeliste"/>
        <w:numPr>
          <w:ilvl w:val="0"/>
          <w:numId w:val="14"/>
        </w:numPr>
        <w:jc w:val="both"/>
        <w:rPr>
          <w:color w:val="000000" w:themeColor="text1"/>
          <w:sz w:val="22"/>
          <w:szCs w:val="22"/>
        </w:rPr>
      </w:pPr>
      <w:r>
        <w:rPr>
          <w:color w:val="000000" w:themeColor="text1"/>
          <w:sz w:val="22"/>
          <w:szCs w:val="22"/>
        </w:rPr>
        <w:t>guidelines for reporting human</w:t>
      </w:r>
      <w:r w:rsidR="001A3092">
        <w:rPr>
          <w:color w:val="000000" w:themeColor="text1"/>
          <w:sz w:val="22"/>
          <w:szCs w:val="22"/>
        </w:rPr>
        <w:t xml:space="preserve"> capital metrics to investors publié par</w:t>
      </w:r>
      <w:r>
        <w:rPr>
          <w:color w:val="000000" w:themeColor="text1"/>
          <w:sz w:val="22"/>
          <w:szCs w:val="22"/>
        </w:rPr>
        <w:t xml:space="preserve"> l’ANSI </w:t>
      </w:r>
    </w:p>
    <w:p w14:paraId="4E146B72" w14:textId="6E24B4CB" w:rsidR="00464FCC" w:rsidRPr="00464FCC" w:rsidRDefault="00464FCC" w:rsidP="00464FCC">
      <w:pPr>
        <w:pStyle w:val="Pardeliste"/>
        <w:numPr>
          <w:ilvl w:val="0"/>
          <w:numId w:val="14"/>
        </w:numPr>
        <w:jc w:val="both"/>
        <w:rPr>
          <w:color w:val="000000" w:themeColor="text1"/>
          <w:sz w:val="22"/>
          <w:szCs w:val="22"/>
        </w:rPr>
      </w:pPr>
      <w:r>
        <w:rPr>
          <w:color w:val="000000" w:themeColor="text1"/>
          <w:sz w:val="22"/>
          <w:szCs w:val="22"/>
        </w:rPr>
        <w:t>OECD Guidelines : Reporting on human capital : objectives and trends</w:t>
      </w:r>
    </w:p>
    <w:p w14:paraId="3F51163B" w14:textId="77777777" w:rsidR="00285D18" w:rsidRPr="00E02010" w:rsidRDefault="00285D18" w:rsidP="008B69B6">
      <w:pPr>
        <w:rPr>
          <w:color w:val="000000" w:themeColor="text1"/>
        </w:rPr>
      </w:pPr>
    </w:p>
    <w:p w14:paraId="6E8EB2FD" w14:textId="52FFDDBC" w:rsidR="004E3E88" w:rsidRPr="00E02010" w:rsidRDefault="004E3E88" w:rsidP="00E36813">
      <w:pPr>
        <w:jc w:val="center"/>
        <w:rPr>
          <w:color w:val="000000" w:themeColor="text1"/>
        </w:rPr>
      </w:pPr>
      <w:r w:rsidRPr="00E02010">
        <w:rPr>
          <w:color w:val="000000" w:themeColor="text1"/>
        </w:rPr>
        <w:t>---------------</w:t>
      </w:r>
    </w:p>
    <w:p w14:paraId="74719F13" w14:textId="77777777" w:rsidR="00285D18" w:rsidRPr="00E02010" w:rsidRDefault="00285D18" w:rsidP="008B69B6">
      <w:pPr>
        <w:rPr>
          <w:color w:val="000000" w:themeColor="text1"/>
        </w:rPr>
      </w:pPr>
    </w:p>
    <w:p w14:paraId="45F09A02" w14:textId="5D79296C" w:rsidR="00285D18" w:rsidRPr="00E02010" w:rsidRDefault="00E02010" w:rsidP="00285D18">
      <w:pPr>
        <w:pBdr>
          <w:top w:val="single" w:sz="4" w:space="1" w:color="auto"/>
          <w:left w:val="single" w:sz="4" w:space="4" w:color="auto"/>
          <w:bottom w:val="single" w:sz="4" w:space="1" w:color="auto"/>
          <w:right w:val="single" w:sz="4" w:space="4" w:color="auto"/>
        </w:pBdr>
        <w:rPr>
          <w:b/>
          <w:i/>
          <w:color w:val="000000" w:themeColor="text1"/>
        </w:rPr>
      </w:pPr>
      <w:r w:rsidRPr="00E02010">
        <w:rPr>
          <w:b/>
          <w:i/>
          <w:color w:val="000000" w:themeColor="text1"/>
        </w:rPr>
        <w:t xml:space="preserve">ISO 30415 – Diversité et inclusion </w:t>
      </w:r>
      <w:r w:rsidR="00285D18" w:rsidRPr="00E02010">
        <w:rPr>
          <w:b/>
          <w:i/>
          <w:color w:val="000000" w:themeColor="text1"/>
        </w:rPr>
        <w:t>en entreprise</w:t>
      </w:r>
    </w:p>
    <w:p w14:paraId="512AF474" w14:textId="77777777" w:rsidR="00285D18" w:rsidRPr="00E02010" w:rsidRDefault="00285D18" w:rsidP="008B69B6">
      <w:pPr>
        <w:rPr>
          <w:color w:val="000000" w:themeColor="text1"/>
        </w:rPr>
      </w:pPr>
    </w:p>
    <w:p w14:paraId="0451F092" w14:textId="0CC90B06" w:rsidR="004E3E88" w:rsidRDefault="00CC6107" w:rsidP="00963110">
      <w:pPr>
        <w:jc w:val="both"/>
        <w:rPr>
          <w:color w:val="000000" w:themeColor="text1"/>
          <w:sz w:val="22"/>
          <w:szCs w:val="22"/>
        </w:rPr>
      </w:pPr>
      <w:r w:rsidRPr="00E24D92">
        <w:rPr>
          <w:color w:val="000000" w:themeColor="text1"/>
          <w:sz w:val="22"/>
          <w:szCs w:val="22"/>
        </w:rPr>
        <w:t>Les pays membres de l’ISO ont émis un vote positif</w:t>
      </w:r>
      <w:r w:rsidR="00E24D92">
        <w:rPr>
          <w:color w:val="000000" w:themeColor="text1"/>
          <w:sz w:val="22"/>
          <w:szCs w:val="22"/>
        </w:rPr>
        <w:t xml:space="preserve"> en avril 2016</w:t>
      </w:r>
      <w:r w:rsidR="006079B4">
        <w:rPr>
          <w:color w:val="000000" w:themeColor="text1"/>
          <w:sz w:val="22"/>
          <w:szCs w:val="22"/>
        </w:rPr>
        <w:t xml:space="preserve"> sur ce nouveau thème de travail</w:t>
      </w:r>
      <w:r w:rsidRPr="00E24D92">
        <w:rPr>
          <w:color w:val="000000" w:themeColor="text1"/>
          <w:sz w:val="22"/>
          <w:szCs w:val="22"/>
        </w:rPr>
        <w:t xml:space="preserve">. </w:t>
      </w:r>
    </w:p>
    <w:p w14:paraId="6020EF93" w14:textId="77777777" w:rsidR="00D30F44" w:rsidRDefault="00D30F44" w:rsidP="00963110">
      <w:pPr>
        <w:jc w:val="both"/>
        <w:rPr>
          <w:color w:val="000000" w:themeColor="text1"/>
          <w:sz w:val="22"/>
          <w:szCs w:val="22"/>
        </w:rPr>
      </w:pPr>
    </w:p>
    <w:p w14:paraId="6A93C074" w14:textId="414B0B1E" w:rsidR="00D30F44" w:rsidRDefault="00D30F44" w:rsidP="00963110">
      <w:pPr>
        <w:jc w:val="both"/>
        <w:rPr>
          <w:color w:val="000000" w:themeColor="text1"/>
          <w:sz w:val="22"/>
          <w:szCs w:val="22"/>
        </w:rPr>
      </w:pPr>
      <w:r>
        <w:rPr>
          <w:color w:val="000000" w:themeColor="text1"/>
          <w:sz w:val="22"/>
          <w:szCs w:val="22"/>
        </w:rPr>
        <w:t>Le cadrage du sujet est en cours (analyse des référentiels et initiatives proposées).</w:t>
      </w:r>
    </w:p>
    <w:p w14:paraId="5D31826A" w14:textId="77777777" w:rsidR="00E24D92" w:rsidRDefault="00E24D92" w:rsidP="00963110">
      <w:pPr>
        <w:jc w:val="both"/>
        <w:rPr>
          <w:color w:val="000000" w:themeColor="text1"/>
          <w:sz w:val="22"/>
          <w:szCs w:val="22"/>
        </w:rPr>
      </w:pPr>
    </w:p>
    <w:p w14:paraId="15EA1EFA" w14:textId="230C90F1" w:rsidR="00E24D92" w:rsidRPr="00E24D92" w:rsidRDefault="00E24D92" w:rsidP="00963110">
      <w:pPr>
        <w:jc w:val="both"/>
        <w:rPr>
          <w:color w:val="000000" w:themeColor="text1"/>
          <w:sz w:val="22"/>
          <w:szCs w:val="22"/>
        </w:rPr>
      </w:pPr>
      <w:r>
        <w:rPr>
          <w:color w:val="000000" w:themeColor="text1"/>
          <w:sz w:val="22"/>
          <w:szCs w:val="22"/>
        </w:rPr>
        <w:t xml:space="preserve">Le DIS devrait être </w:t>
      </w:r>
      <w:r w:rsidR="006079B4">
        <w:rPr>
          <w:color w:val="000000" w:themeColor="text1"/>
          <w:sz w:val="22"/>
          <w:szCs w:val="22"/>
        </w:rPr>
        <w:t>soumis au vote</w:t>
      </w:r>
      <w:r>
        <w:rPr>
          <w:color w:val="000000" w:themeColor="text1"/>
          <w:sz w:val="22"/>
          <w:szCs w:val="22"/>
        </w:rPr>
        <w:t xml:space="preserve"> avant août 2018 pour une publication au plus tard en août 2019.</w:t>
      </w:r>
    </w:p>
    <w:p w14:paraId="34C49A8E" w14:textId="77777777" w:rsidR="00E24D92" w:rsidRPr="00E24D92" w:rsidRDefault="00E24D92" w:rsidP="00963110">
      <w:pPr>
        <w:jc w:val="both"/>
        <w:rPr>
          <w:color w:val="000000" w:themeColor="text1"/>
          <w:sz w:val="22"/>
          <w:szCs w:val="22"/>
        </w:rPr>
      </w:pPr>
    </w:p>
    <w:p w14:paraId="3D6100B3" w14:textId="0446BFD5" w:rsidR="00EF34C1" w:rsidRPr="00E02010" w:rsidRDefault="00EF34C1" w:rsidP="00EF34C1">
      <w:pPr>
        <w:jc w:val="center"/>
        <w:rPr>
          <w:color w:val="000000" w:themeColor="text1"/>
        </w:rPr>
      </w:pPr>
      <w:r w:rsidRPr="00E02010">
        <w:rPr>
          <w:color w:val="000000" w:themeColor="text1"/>
        </w:rPr>
        <w:t>---------------</w:t>
      </w:r>
    </w:p>
    <w:p w14:paraId="0FD9EDDA" w14:textId="77777777" w:rsidR="00E11F10" w:rsidRPr="00E02010" w:rsidRDefault="00E11F10" w:rsidP="00E11F10">
      <w:pPr>
        <w:rPr>
          <w:color w:val="000000" w:themeColor="text1"/>
        </w:rPr>
      </w:pPr>
    </w:p>
    <w:p w14:paraId="368685AF" w14:textId="313E6EBB" w:rsidR="00E11F10" w:rsidRPr="00E02010" w:rsidRDefault="00E02010" w:rsidP="00E11F10">
      <w:pPr>
        <w:pBdr>
          <w:top w:val="single" w:sz="4" w:space="1" w:color="auto"/>
          <w:left w:val="single" w:sz="4" w:space="4" w:color="auto"/>
          <w:bottom w:val="single" w:sz="4" w:space="1" w:color="auto"/>
          <w:right w:val="single" w:sz="4" w:space="4" w:color="auto"/>
        </w:pBdr>
        <w:rPr>
          <w:b/>
          <w:i/>
          <w:color w:val="000000" w:themeColor="text1"/>
        </w:rPr>
      </w:pPr>
      <w:r w:rsidRPr="00E02010">
        <w:rPr>
          <w:b/>
          <w:i/>
          <w:color w:val="000000" w:themeColor="text1"/>
        </w:rPr>
        <w:t xml:space="preserve">ISO 30416 - </w:t>
      </w:r>
      <w:r w:rsidR="00EF34C1" w:rsidRPr="00E02010">
        <w:rPr>
          <w:b/>
          <w:i/>
          <w:color w:val="000000" w:themeColor="text1"/>
        </w:rPr>
        <w:t xml:space="preserve"> </w:t>
      </w:r>
      <w:r w:rsidR="0054519A">
        <w:rPr>
          <w:b/>
          <w:i/>
          <w:color w:val="000000" w:themeColor="text1"/>
        </w:rPr>
        <w:t xml:space="preserve">Human resources management - </w:t>
      </w:r>
      <w:r w:rsidR="00EF34C1" w:rsidRPr="00E02010">
        <w:rPr>
          <w:b/>
          <w:i/>
          <w:color w:val="000000" w:themeColor="text1"/>
        </w:rPr>
        <w:t xml:space="preserve">Workforce </w:t>
      </w:r>
      <w:r w:rsidR="00D30F44">
        <w:rPr>
          <w:b/>
          <w:i/>
          <w:color w:val="000000" w:themeColor="text1"/>
        </w:rPr>
        <w:t>management</w:t>
      </w:r>
    </w:p>
    <w:p w14:paraId="61C35AF8" w14:textId="77777777" w:rsidR="00E11F10" w:rsidRPr="00E02010" w:rsidRDefault="00E11F10" w:rsidP="00E11F10">
      <w:pPr>
        <w:jc w:val="both"/>
        <w:rPr>
          <w:i/>
          <w:color w:val="000000" w:themeColor="text1"/>
          <w:sz w:val="22"/>
          <w:szCs w:val="22"/>
        </w:rPr>
      </w:pPr>
    </w:p>
    <w:p w14:paraId="1E85D87A" w14:textId="0CE731BE" w:rsidR="00E11F10" w:rsidRDefault="00E24D92" w:rsidP="00E11F10">
      <w:pPr>
        <w:jc w:val="both"/>
        <w:rPr>
          <w:color w:val="000000" w:themeColor="text1"/>
          <w:sz w:val="22"/>
          <w:szCs w:val="22"/>
        </w:rPr>
      </w:pPr>
      <w:r>
        <w:rPr>
          <w:color w:val="000000" w:themeColor="text1"/>
          <w:sz w:val="22"/>
          <w:szCs w:val="22"/>
        </w:rPr>
        <w:t xml:space="preserve">Le sujet a été adopté en mai 2016. </w:t>
      </w:r>
    </w:p>
    <w:p w14:paraId="50A9607B" w14:textId="77777777" w:rsidR="00E24D92" w:rsidRDefault="00E24D92" w:rsidP="00E11F10">
      <w:pPr>
        <w:jc w:val="both"/>
        <w:rPr>
          <w:color w:val="000000" w:themeColor="text1"/>
          <w:sz w:val="22"/>
          <w:szCs w:val="22"/>
        </w:rPr>
      </w:pPr>
    </w:p>
    <w:p w14:paraId="542CB24A" w14:textId="798EF216" w:rsidR="00F80BE0" w:rsidRDefault="00F80BE0" w:rsidP="00F80BE0">
      <w:pPr>
        <w:jc w:val="both"/>
        <w:rPr>
          <w:color w:val="000000" w:themeColor="text1"/>
          <w:sz w:val="22"/>
          <w:szCs w:val="22"/>
        </w:rPr>
      </w:pPr>
      <w:r>
        <w:rPr>
          <w:color w:val="000000" w:themeColor="text1"/>
          <w:sz w:val="22"/>
          <w:szCs w:val="22"/>
        </w:rPr>
        <w:t xml:space="preserve">Le DIS devrait être </w:t>
      </w:r>
      <w:r w:rsidR="006079B4">
        <w:rPr>
          <w:color w:val="000000" w:themeColor="text1"/>
          <w:sz w:val="22"/>
          <w:szCs w:val="22"/>
        </w:rPr>
        <w:t>soumis au vote</w:t>
      </w:r>
      <w:r>
        <w:rPr>
          <w:color w:val="000000" w:themeColor="text1"/>
          <w:sz w:val="22"/>
          <w:szCs w:val="22"/>
        </w:rPr>
        <w:t xml:space="preserve"> avant novembre 2017 pour une publication au plus tard en août 2018.</w:t>
      </w:r>
    </w:p>
    <w:p w14:paraId="64723FFC" w14:textId="77777777" w:rsidR="00D30F44" w:rsidRDefault="00D30F44" w:rsidP="00F80BE0">
      <w:pPr>
        <w:jc w:val="both"/>
        <w:rPr>
          <w:color w:val="000000" w:themeColor="text1"/>
          <w:sz w:val="22"/>
          <w:szCs w:val="22"/>
        </w:rPr>
      </w:pPr>
    </w:p>
    <w:p w14:paraId="0E0D8D80" w14:textId="2E592128" w:rsidR="00D30F44" w:rsidRDefault="00D30F44" w:rsidP="00F80BE0">
      <w:pPr>
        <w:jc w:val="both"/>
        <w:rPr>
          <w:color w:val="000000" w:themeColor="text1"/>
          <w:sz w:val="22"/>
          <w:szCs w:val="22"/>
        </w:rPr>
      </w:pPr>
      <w:r>
        <w:rPr>
          <w:color w:val="000000" w:themeColor="text1"/>
          <w:sz w:val="22"/>
          <w:szCs w:val="22"/>
        </w:rPr>
        <w:t xml:space="preserve">Les principaux sujets développés sont : </w:t>
      </w:r>
    </w:p>
    <w:p w14:paraId="15D52E2D" w14:textId="6474A721" w:rsidR="00D30F44" w:rsidRDefault="00D30F44" w:rsidP="00D30F44">
      <w:pPr>
        <w:pStyle w:val="Pardeliste"/>
        <w:numPr>
          <w:ilvl w:val="0"/>
          <w:numId w:val="14"/>
        </w:numPr>
        <w:jc w:val="both"/>
        <w:rPr>
          <w:color w:val="000000" w:themeColor="text1"/>
          <w:sz w:val="22"/>
          <w:szCs w:val="22"/>
        </w:rPr>
      </w:pPr>
      <w:r>
        <w:rPr>
          <w:color w:val="000000" w:themeColor="text1"/>
          <w:sz w:val="22"/>
          <w:szCs w:val="22"/>
        </w:rPr>
        <w:t xml:space="preserve">value of force management system </w:t>
      </w:r>
    </w:p>
    <w:p w14:paraId="415E9486" w14:textId="2DAD08EC" w:rsidR="00D30F44" w:rsidRDefault="00D30F44" w:rsidP="00D30F44">
      <w:pPr>
        <w:pStyle w:val="Pardeliste"/>
        <w:numPr>
          <w:ilvl w:val="0"/>
          <w:numId w:val="14"/>
        </w:numPr>
        <w:jc w:val="both"/>
        <w:rPr>
          <w:color w:val="000000" w:themeColor="text1"/>
          <w:sz w:val="22"/>
          <w:szCs w:val="22"/>
        </w:rPr>
      </w:pPr>
      <w:r>
        <w:rPr>
          <w:color w:val="000000" w:themeColor="text1"/>
          <w:sz w:val="22"/>
          <w:szCs w:val="22"/>
        </w:rPr>
        <w:lastRenderedPageBreak/>
        <w:t xml:space="preserve">relation ship with human resources management in the context of the organization </w:t>
      </w:r>
    </w:p>
    <w:p w14:paraId="6A3C7DA5" w14:textId="216FE975" w:rsidR="00D30F44" w:rsidRDefault="00D30F44" w:rsidP="00D30F44">
      <w:pPr>
        <w:pStyle w:val="Pardeliste"/>
        <w:numPr>
          <w:ilvl w:val="0"/>
          <w:numId w:val="14"/>
        </w:numPr>
        <w:jc w:val="both"/>
        <w:rPr>
          <w:color w:val="000000" w:themeColor="text1"/>
          <w:sz w:val="22"/>
          <w:szCs w:val="22"/>
        </w:rPr>
      </w:pPr>
      <w:r>
        <w:rPr>
          <w:color w:val="000000" w:themeColor="text1"/>
          <w:sz w:val="22"/>
          <w:szCs w:val="22"/>
        </w:rPr>
        <w:t xml:space="preserve">what workforce management and time is not </w:t>
      </w:r>
    </w:p>
    <w:p w14:paraId="670E0F5A" w14:textId="29C723DD" w:rsidR="00D30F44" w:rsidRDefault="00D30F44" w:rsidP="00D30F44">
      <w:pPr>
        <w:pStyle w:val="Pardeliste"/>
        <w:numPr>
          <w:ilvl w:val="0"/>
          <w:numId w:val="14"/>
        </w:numPr>
        <w:jc w:val="both"/>
        <w:rPr>
          <w:color w:val="000000" w:themeColor="text1"/>
          <w:sz w:val="22"/>
          <w:szCs w:val="22"/>
        </w:rPr>
      </w:pPr>
      <w:r>
        <w:rPr>
          <w:color w:val="000000" w:themeColor="text1"/>
          <w:sz w:val="22"/>
          <w:szCs w:val="22"/>
        </w:rPr>
        <w:t xml:space="preserve">labor schedule </w:t>
      </w:r>
    </w:p>
    <w:p w14:paraId="5D5BE759" w14:textId="3BF459BD" w:rsidR="00D30F44" w:rsidRDefault="00D30F44" w:rsidP="00D30F44">
      <w:pPr>
        <w:pStyle w:val="Pardeliste"/>
        <w:numPr>
          <w:ilvl w:val="0"/>
          <w:numId w:val="14"/>
        </w:numPr>
        <w:jc w:val="both"/>
        <w:rPr>
          <w:color w:val="000000" w:themeColor="text1"/>
          <w:sz w:val="22"/>
          <w:szCs w:val="22"/>
        </w:rPr>
      </w:pPr>
      <w:r>
        <w:rPr>
          <w:color w:val="000000" w:themeColor="text1"/>
          <w:sz w:val="22"/>
          <w:szCs w:val="22"/>
        </w:rPr>
        <w:t xml:space="preserve">time reporting </w:t>
      </w:r>
    </w:p>
    <w:p w14:paraId="57B7A9A7" w14:textId="7431C86C" w:rsidR="00D30F44" w:rsidRDefault="00D30F44" w:rsidP="00D30F44">
      <w:pPr>
        <w:pStyle w:val="Pardeliste"/>
        <w:numPr>
          <w:ilvl w:val="0"/>
          <w:numId w:val="14"/>
        </w:numPr>
        <w:jc w:val="both"/>
        <w:rPr>
          <w:color w:val="000000" w:themeColor="text1"/>
          <w:sz w:val="22"/>
          <w:szCs w:val="22"/>
        </w:rPr>
      </w:pPr>
      <w:r>
        <w:rPr>
          <w:color w:val="000000" w:themeColor="text1"/>
          <w:sz w:val="22"/>
          <w:szCs w:val="22"/>
        </w:rPr>
        <w:t xml:space="preserve">absence management </w:t>
      </w:r>
    </w:p>
    <w:p w14:paraId="28237AFB" w14:textId="799B819B" w:rsidR="00D30F44" w:rsidRDefault="00D30F44" w:rsidP="00D30F44">
      <w:pPr>
        <w:pStyle w:val="Pardeliste"/>
        <w:numPr>
          <w:ilvl w:val="0"/>
          <w:numId w:val="14"/>
        </w:numPr>
        <w:jc w:val="both"/>
        <w:rPr>
          <w:color w:val="000000" w:themeColor="text1"/>
          <w:sz w:val="22"/>
          <w:szCs w:val="22"/>
        </w:rPr>
      </w:pPr>
      <w:r>
        <w:rPr>
          <w:color w:val="000000" w:themeColor="text1"/>
          <w:sz w:val="22"/>
          <w:szCs w:val="22"/>
        </w:rPr>
        <w:t xml:space="preserve">time and scheduling analytics </w:t>
      </w:r>
    </w:p>
    <w:p w14:paraId="34E2BDE3" w14:textId="5DC816D6" w:rsidR="00D30F44" w:rsidRPr="00D30F44" w:rsidRDefault="00D30F44" w:rsidP="00D30F44">
      <w:pPr>
        <w:pStyle w:val="Pardeliste"/>
        <w:numPr>
          <w:ilvl w:val="0"/>
          <w:numId w:val="14"/>
        </w:numPr>
        <w:jc w:val="both"/>
        <w:rPr>
          <w:color w:val="000000" w:themeColor="text1"/>
          <w:sz w:val="22"/>
          <w:szCs w:val="22"/>
        </w:rPr>
      </w:pPr>
      <w:r>
        <w:rPr>
          <w:color w:val="000000" w:themeColor="text1"/>
          <w:sz w:val="22"/>
          <w:szCs w:val="22"/>
        </w:rPr>
        <w:t xml:space="preserve">annexes </w:t>
      </w:r>
    </w:p>
    <w:p w14:paraId="6AB04C43" w14:textId="77777777" w:rsidR="001B4135" w:rsidRDefault="001B4135" w:rsidP="00F80BE0">
      <w:pPr>
        <w:rPr>
          <w:color w:val="FF0000"/>
        </w:rPr>
      </w:pPr>
    </w:p>
    <w:p w14:paraId="2DA377EA" w14:textId="77777777" w:rsidR="001B4135" w:rsidRPr="00E02010" w:rsidRDefault="001B4135" w:rsidP="001B4135">
      <w:pPr>
        <w:jc w:val="center"/>
        <w:rPr>
          <w:color w:val="000000" w:themeColor="text1"/>
        </w:rPr>
      </w:pPr>
      <w:r w:rsidRPr="00E02010">
        <w:rPr>
          <w:color w:val="000000" w:themeColor="text1"/>
        </w:rPr>
        <w:t>---------------</w:t>
      </w:r>
    </w:p>
    <w:p w14:paraId="733C1BA7" w14:textId="77777777" w:rsidR="001B4135" w:rsidRPr="00E02010" w:rsidRDefault="001B4135" w:rsidP="001B4135">
      <w:pPr>
        <w:rPr>
          <w:color w:val="000000" w:themeColor="text1"/>
        </w:rPr>
      </w:pPr>
    </w:p>
    <w:p w14:paraId="63FDD917" w14:textId="07F4832A" w:rsidR="001B4135" w:rsidRPr="00E02010" w:rsidRDefault="001B4135" w:rsidP="001B4135">
      <w:pPr>
        <w:pBdr>
          <w:top w:val="single" w:sz="4" w:space="1" w:color="auto"/>
          <w:left w:val="single" w:sz="4" w:space="4" w:color="auto"/>
          <w:bottom w:val="single" w:sz="4" w:space="1" w:color="auto"/>
          <w:right w:val="single" w:sz="4" w:space="4" w:color="auto"/>
        </w:pBdr>
        <w:rPr>
          <w:b/>
          <w:i/>
          <w:color w:val="000000" w:themeColor="text1"/>
        </w:rPr>
      </w:pPr>
      <w:r w:rsidRPr="00E02010">
        <w:rPr>
          <w:b/>
          <w:i/>
          <w:color w:val="000000" w:themeColor="text1"/>
        </w:rPr>
        <w:t>ISO 3041</w:t>
      </w:r>
      <w:r>
        <w:rPr>
          <w:b/>
          <w:i/>
          <w:color w:val="000000" w:themeColor="text1"/>
        </w:rPr>
        <w:t>7</w:t>
      </w:r>
      <w:r w:rsidRPr="00E02010">
        <w:rPr>
          <w:b/>
          <w:i/>
          <w:color w:val="000000" w:themeColor="text1"/>
        </w:rPr>
        <w:t xml:space="preserve"> -  </w:t>
      </w:r>
      <w:r w:rsidR="00D30F44">
        <w:rPr>
          <w:b/>
          <w:i/>
          <w:color w:val="000000" w:themeColor="text1"/>
        </w:rPr>
        <w:t>Harmonized human resources p</w:t>
      </w:r>
      <w:r>
        <w:rPr>
          <w:b/>
          <w:i/>
          <w:color w:val="000000" w:themeColor="text1"/>
        </w:rPr>
        <w:t>rofessional competency framework</w:t>
      </w:r>
    </w:p>
    <w:p w14:paraId="1C7E3846" w14:textId="77777777" w:rsidR="001B4135" w:rsidRPr="00E02010" w:rsidRDefault="001B4135" w:rsidP="001B4135">
      <w:pPr>
        <w:jc w:val="both"/>
        <w:rPr>
          <w:i/>
          <w:color w:val="000000" w:themeColor="text1"/>
          <w:sz w:val="22"/>
          <w:szCs w:val="22"/>
        </w:rPr>
      </w:pPr>
    </w:p>
    <w:p w14:paraId="7589881F" w14:textId="77777777" w:rsidR="00F80BE0" w:rsidRDefault="00F80BE0" w:rsidP="00F80BE0">
      <w:pPr>
        <w:jc w:val="both"/>
        <w:rPr>
          <w:color w:val="000000" w:themeColor="text1"/>
          <w:sz w:val="22"/>
          <w:szCs w:val="22"/>
        </w:rPr>
      </w:pPr>
      <w:r>
        <w:rPr>
          <w:color w:val="000000" w:themeColor="text1"/>
          <w:sz w:val="22"/>
          <w:szCs w:val="22"/>
        </w:rPr>
        <w:t xml:space="preserve">Le sujet a été adopté en mai 2016. </w:t>
      </w:r>
    </w:p>
    <w:p w14:paraId="4A5897D5" w14:textId="77777777" w:rsidR="00D30F44" w:rsidRDefault="00D30F44" w:rsidP="00F80BE0">
      <w:pPr>
        <w:jc w:val="both"/>
        <w:rPr>
          <w:color w:val="000000" w:themeColor="text1"/>
          <w:sz w:val="22"/>
          <w:szCs w:val="22"/>
        </w:rPr>
      </w:pPr>
    </w:p>
    <w:p w14:paraId="43C59B59" w14:textId="0371B940" w:rsidR="00D30F44" w:rsidRDefault="00D30F44" w:rsidP="00F80BE0">
      <w:pPr>
        <w:jc w:val="both"/>
        <w:rPr>
          <w:color w:val="000000" w:themeColor="text1"/>
          <w:sz w:val="22"/>
          <w:szCs w:val="22"/>
        </w:rPr>
      </w:pPr>
      <w:r>
        <w:rPr>
          <w:color w:val="000000" w:themeColor="text1"/>
          <w:sz w:val="22"/>
          <w:szCs w:val="22"/>
        </w:rPr>
        <w:t>Rappel : « </w:t>
      </w:r>
      <w:r>
        <w:rPr>
          <w:i/>
          <w:color w:val="000000" w:themeColor="text1"/>
          <w:sz w:val="22"/>
          <w:szCs w:val="22"/>
        </w:rPr>
        <w:t>T</w:t>
      </w:r>
      <w:r w:rsidRPr="00D30F44">
        <w:rPr>
          <w:i/>
          <w:color w:val="000000" w:themeColor="text1"/>
          <w:sz w:val="22"/>
          <w:szCs w:val="22"/>
        </w:rPr>
        <w:t xml:space="preserve">he purpose is to enhance the reputation of the human resources as a trusted and strategic profession that creates organizational value and fosters </w:t>
      </w:r>
      <w:r>
        <w:rPr>
          <w:color w:val="000000" w:themeColor="text1"/>
          <w:sz w:val="22"/>
          <w:szCs w:val="22"/>
        </w:rPr>
        <w:t>success »</w:t>
      </w:r>
    </w:p>
    <w:p w14:paraId="38380B4B" w14:textId="77777777" w:rsidR="00F80BE0" w:rsidRDefault="00F80BE0" w:rsidP="00F80BE0">
      <w:pPr>
        <w:jc w:val="both"/>
        <w:rPr>
          <w:color w:val="000000" w:themeColor="text1"/>
          <w:sz w:val="22"/>
          <w:szCs w:val="22"/>
        </w:rPr>
      </w:pPr>
    </w:p>
    <w:p w14:paraId="591603CD" w14:textId="6230F94A" w:rsidR="00F80BE0" w:rsidRPr="00E24D92" w:rsidRDefault="00F80BE0" w:rsidP="00F80BE0">
      <w:pPr>
        <w:jc w:val="both"/>
        <w:rPr>
          <w:color w:val="000000" w:themeColor="text1"/>
          <w:sz w:val="22"/>
          <w:szCs w:val="22"/>
        </w:rPr>
      </w:pPr>
      <w:r>
        <w:rPr>
          <w:color w:val="000000" w:themeColor="text1"/>
          <w:sz w:val="22"/>
          <w:szCs w:val="22"/>
        </w:rPr>
        <w:t xml:space="preserve">Le DIS devrait être </w:t>
      </w:r>
      <w:r w:rsidR="006079B4">
        <w:rPr>
          <w:color w:val="000000" w:themeColor="text1"/>
          <w:sz w:val="22"/>
          <w:szCs w:val="22"/>
        </w:rPr>
        <w:t>soumis au vote</w:t>
      </w:r>
      <w:r>
        <w:rPr>
          <w:color w:val="000000" w:themeColor="text1"/>
          <w:sz w:val="22"/>
          <w:szCs w:val="22"/>
        </w:rPr>
        <w:t xml:space="preserve"> </w:t>
      </w:r>
      <w:r w:rsidR="00CF69A9">
        <w:rPr>
          <w:color w:val="000000" w:themeColor="text1"/>
          <w:sz w:val="22"/>
          <w:szCs w:val="22"/>
        </w:rPr>
        <w:t xml:space="preserve">en octobre 2018, </w:t>
      </w:r>
      <w:r>
        <w:rPr>
          <w:color w:val="000000" w:themeColor="text1"/>
          <w:sz w:val="22"/>
          <w:szCs w:val="22"/>
        </w:rPr>
        <w:t>pour une publi</w:t>
      </w:r>
      <w:r w:rsidR="00FD58BB">
        <w:rPr>
          <w:color w:val="000000" w:themeColor="text1"/>
          <w:sz w:val="22"/>
          <w:szCs w:val="22"/>
        </w:rPr>
        <w:t>cation au plus tard en août 2019</w:t>
      </w:r>
      <w:r>
        <w:rPr>
          <w:color w:val="000000" w:themeColor="text1"/>
          <w:sz w:val="22"/>
          <w:szCs w:val="22"/>
        </w:rPr>
        <w:t>.</w:t>
      </w:r>
    </w:p>
    <w:p w14:paraId="3E63ED75" w14:textId="77777777" w:rsidR="001B4135" w:rsidRPr="00A57952" w:rsidRDefault="001B4135" w:rsidP="001B4135">
      <w:pPr>
        <w:jc w:val="both"/>
        <w:rPr>
          <w:i/>
          <w:color w:val="FF0000"/>
        </w:rPr>
      </w:pPr>
    </w:p>
    <w:p w14:paraId="1A997008" w14:textId="77777777" w:rsidR="001B4135" w:rsidRPr="00E02010" w:rsidRDefault="001B4135" w:rsidP="001B4135">
      <w:pPr>
        <w:jc w:val="center"/>
        <w:rPr>
          <w:color w:val="000000" w:themeColor="text1"/>
        </w:rPr>
      </w:pPr>
      <w:r w:rsidRPr="00E02010">
        <w:rPr>
          <w:color w:val="000000" w:themeColor="text1"/>
        </w:rPr>
        <w:t>---------------</w:t>
      </w:r>
    </w:p>
    <w:p w14:paraId="0B6BA42C" w14:textId="77777777" w:rsidR="001B4135" w:rsidRPr="00E02010" w:rsidRDefault="001B4135" w:rsidP="001B4135">
      <w:pPr>
        <w:rPr>
          <w:color w:val="000000" w:themeColor="text1"/>
        </w:rPr>
      </w:pPr>
    </w:p>
    <w:p w14:paraId="3B85E77A" w14:textId="18891609" w:rsidR="001B4135" w:rsidRPr="00E02010" w:rsidRDefault="001B4135" w:rsidP="001B4135">
      <w:pPr>
        <w:pBdr>
          <w:top w:val="single" w:sz="4" w:space="1" w:color="auto"/>
          <w:left w:val="single" w:sz="4" w:space="4" w:color="auto"/>
          <w:bottom w:val="single" w:sz="4" w:space="1" w:color="auto"/>
          <w:right w:val="single" w:sz="4" w:space="4" w:color="auto"/>
        </w:pBdr>
        <w:rPr>
          <w:b/>
          <w:i/>
          <w:color w:val="000000" w:themeColor="text1"/>
        </w:rPr>
      </w:pPr>
      <w:r w:rsidRPr="00E02010">
        <w:rPr>
          <w:b/>
          <w:i/>
          <w:color w:val="000000" w:themeColor="text1"/>
        </w:rPr>
        <w:t>ISO 3041</w:t>
      </w:r>
      <w:r>
        <w:rPr>
          <w:b/>
          <w:i/>
          <w:color w:val="000000" w:themeColor="text1"/>
        </w:rPr>
        <w:t>8</w:t>
      </w:r>
      <w:r w:rsidRPr="00E02010">
        <w:rPr>
          <w:b/>
          <w:i/>
          <w:color w:val="000000" w:themeColor="text1"/>
        </w:rPr>
        <w:t xml:space="preserve"> </w:t>
      </w:r>
      <w:r>
        <w:rPr>
          <w:b/>
          <w:i/>
          <w:color w:val="000000" w:themeColor="text1"/>
        </w:rPr>
        <w:t>–</w:t>
      </w:r>
      <w:r w:rsidRPr="00E02010">
        <w:rPr>
          <w:b/>
          <w:i/>
          <w:color w:val="000000" w:themeColor="text1"/>
        </w:rPr>
        <w:t xml:space="preserve"> </w:t>
      </w:r>
      <w:r>
        <w:rPr>
          <w:b/>
          <w:i/>
          <w:color w:val="000000" w:themeColor="text1"/>
        </w:rPr>
        <w:t xml:space="preserve">Normes pour la mise en œuvre de stratégies et tactiques d’engagement pour encourager la participation proactive des employés essentielle à la réalisation des objectifs organisationnels clés sur une base durable  </w:t>
      </w:r>
      <w:r w:rsidRPr="00E02010">
        <w:rPr>
          <w:b/>
          <w:i/>
          <w:color w:val="000000" w:themeColor="text1"/>
        </w:rPr>
        <w:t xml:space="preserve"> </w:t>
      </w:r>
    </w:p>
    <w:p w14:paraId="1B0E15B4" w14:textId="77777777" w:rsidR="001B4135" w:rsidRPr="00E02010" w:rsidRDefault="001B4135" w:rsidP="001B4135">
      <w:pPr>
        <w:jc w:val="both"/>
        <w:rPr>
          <w:i/>
          <w:color w:val="000000" w:themeColor="text1"/>
          <w:sz w:val="22"/>
          <w:szCs w:val="22"/>
        </w:rPr>
      </w:pPr>
    </w:p>
    <w:p w14:paraId="066360D4" w14:textId="0B5B1280" w:rsidR="001B4135" w:rsidRDefault="006079B4" w:rsidP="00C710A0">
      <w:pPr>
        <w:rPr>
          <w:color w:val="000000" w:themeColor="text1"/>
          <w:sz w:val="22"/>
          <w:szCs w:val="22"/>
        </w:rPr>
      </w:pPr>
      <w:r>
        <w:rPr>
          <w:color w:val="000000" w:themeColor="text1"/>
          <w:sz w:val="22"/>
          <w:szCs w:val="22"/>
        </w:rPr>
        <w:t>Ce nouveau thème de travail a été adopté</w:t>
      </w:r>
      <w:r w:rsidR="00F80BE0">
        <w:rPr>
          <w:color w:val="000000" w:themeColor="text1"/>
          <w:sz w:val="22"/>
          <w:szCs w:val="22"/>
        </w:rPr>
        <w:t xml:space="preserve"> </w:t>
      </w:r>
      <w:r w:rsidR="00CF69A9">
        <w:rPr>
          <w:color w:val="000000" w:themeColor="text1"/>
          <w:sz w:val="22"/>
          <w:szCs w:val="22"/>
        </w:rPr>
        <w:t xml:space="preserve">début janvier 2017. Un groupe de travail devrait être mis en place (vote en cours). </w:t>
      </w:r>
    </w:p>
    <w:p w14:paraId="38B62CC8" w14:textId="77777777" w:rsidR="001F5170" w:rsidRDefault="001F5170" w:rsidP="00C710A0">
      <w:pPr>
        <w:rPr>
          <w:color w:val="000000" w:themeColor="text1"/>
          <w:sz w:val="22"/>
          <w:szCs w:val="22"/>
        </w:rPr>
      </w:pPr>
    </w:p>
    <w:p w14:paraId="3FE0D3BB" w14:textId="3D8A6DAE" w:rsidR="001F5170" w:rsidRDefault="001F5170" w:rsidP="00C710A0">
      <w:pPr>
        <w:rPr>
          <w:color w:val="000000" w:themeColor="text1"/>
          <w:sz w:val="22"/>
          <w:szCs w:val="22"/>
        </w:rPr>
      </w:pPr>
      <w:r>
        <w:rPr>
          <w:color w:val="000000" w:themeColor="text1"/>
          <w:sz w:val="22"/>
          <w:szCs w:val="22"/>
        </w:rPr>
        <w:t>« </w:t>
      </w:r>
      <w:r w:rsidRPr="00336D6B">
        <w:rPr>
          <w:i/>
          <w:color w:val="000000" w:themeColor="text1"/>
          <w:sz w:val="22"/>
          <w:szCs w:val="22"/>
        </w:rPr>
        <w:t xml:space="preserve">The purpose of employee engagement standards is to provide organizations a clear framework, </w:t>
      </w:r>
      <w:r w:rsidR="00336D6B" w:rsidRPr="00336D6B">
        <w:rPr>
          <w:i/>
          <w:color w:val="000000" w:themeColor="text1"/>
          <w:sz w:val="22"/>
          <w:szCs w:val="22"/>
        </w:rPr>
        <w:t>implementation process and nomen</w:t>
      </w:r>
      <w:r w:rsidRPr="00336D6B">
        <w:rPr>
          <w:i/>
          <w:color w:val="000000" w:themeColor="text1"/>
          <w:sz w:val="22"/>
          <w:szCs w:val="22"/>
        </w:rPr>
        <w:t xml:space="preserve">clature to design </w:t>
      </w:r>
      <w:r w:rsidR="00336D6B" w:rsidRPr="00336D6B">
        <w:rPr>
          <w:i/>
          <w:color w:val="000000" w:themeColor="text1"/>
          <w:sz w:val="22"/>
          <w:szCs w:val="22"/>
        </w:rPr>
        <w:t>and implement formal engagement strategies...</w:t>
      </w:r>
      <w:r w:rsidR="00336D6B">
        <w:rPr>
          <w:color w:val="000000" w:themeColor="text1"/>
          <w:sz w:val="22"/>
          <w:szCs w:val="22"/>
        </w:rPr>
        <w:t> »</w:t>
      </w:r>
    </w:p>
    <w:p w14:paraId="16005B4E" w14:textId="77777777" w:rsidR="00F80BE0" w:rsidRDefault="00F80BE0" w:rsidP="00F80BE0">
      <w:pPr>
        <w:jc w:val="both"/>
        <w:rPr>
          <w:color w:val="000000" w:themeColor="text1"/>
          <w:sz w:val="22"/>
          <w:szCs w:val="22"/>
        </w:rPr>
      </w:pPr>
    </w:p>
    <w:p w14:paraId="26BB74E9" w14:textId="43BF0119" w:rsidR="00F80BE0" w:rsidRPr="00E24D92" w:rsidRDefault="00F80BE0" w:rsidP="00F80BE0">
      <w:pPr>
        <w:jc w:val="both"/>
        <w:rPr>
          <w:color w:val="000000" w:themeColor="text1"/>
          <w:sz w:val="22"/>
          <w:szCs w:val="22"/>
        </w:rPr>
      </w:pPr>
      <w:r>
        <w:rPr>
          <w:color w:val="000000" w:themeColor="text1"/>
          <w:sz w:val="22"/>
          <w:szCs w:val="22"/>
        </w:rPr>
        <w:t xml:space="preserve">Le DIS devrait être </w:t>
      </w:r>
      <w:r w:rsidR="006079B4">
        <w:rPr>
          <w:color w:val="000000" w:themeColor="text1"/>
          <w:sz w:val="22"/>
          <w:szCs w:val="22"/>
        </w:rPr>
        <w:t>soumis au vote</w:t>
      </w:r>
      <w:r>
        <w:rPr>
          <w:color w:val="000000" w:themeColor="text1"/>
          <w:sz w:val="22"/>
          <w:szCs w:val="22"/>
        </w:rPr>
        <w:t xml:space="preserve"> avant janvier 2018 pour une publication au plus tard en janvier 2019.</w:t>
      </w:r>
    </w:p>
    <w:p w14:paraId="06ED010E" w14:textId="77777777" w:rsidR="001B4135" w:rsidRPr="00A57952" w:rsidRDefault="001B4135" w:rsidP="001B4135">
      <w:pPr>
        <w:jc w:val="both"/>
        <w:rPr>
          <w:color w:val="FF0000"/>
          <w:sz w:val="22"/>
          <w:szCs w:val="22"/>
        </w:rPr>
      </w:pPr>
    </w:p>
    <w:p w14:paraId="7AA1EA00" w14:textId="77777777" w:rsidR="001B4135" w:rsidRPr="00E02010" w:rsidRDefault="001B4135" w:rsidP="001B4135">
      <w:pPr>
        <w:jc w:val="center"/>
        <w:rPr>
          <w:color w:val="000000" w:themeColor="text1"/>
        </w:rPr>
      </w:pPr>
      <w:r w:rsidRPr="00E02010">
        <w:rPr>
          <w:color w:val="000000" w:themeColor="text1"/>
        </w:rPr>
        <w:lastRenderedPageBreak/>
        <w:t>---------------</w:t>
      </w:r>
    </w:p>
    <w:p w14:paraId="309AF82A" w14:textId="77777777" w:rsidR="001B4135" w:rsidRPr="00E02010" w:rsidRDefault="001B4135" w:rsidP="001B4135">
      <w:pPr>
        <w:rPr>
          <w:color w:val="000000" w:themeColor="text1"/>
        </w:rPr>
      </w:pPr>
    </w:p>
    <w:p w14:paraId="442F27F8" w14:textId="6DEFC49E" w:rsidR="001B4135" w:rsidRPr="00E02010" w:rsidRDefault="001B4135" w:rsidP="001B4135">
      <w:pPr>
        <w:pBdr>
          <w:top w:val="single" w:sz="4" w:space="1" w:color="auto"/>
          <w:left w:val="single" w:sz="4" w:space="4" w:color="auto"/>
          <w:bottom w:val="single" w:sz="4" w:space="1" w:color="auto"/>
          <w:right w:val="single" w:sz="4" w:space="4" w:color="auto"/>
        </w:pBdr>
        <w:rPr>
          <w:b/>
          <w:i/>
          <w:color w:val="000000" w:themeColor="text1"/>
        </w:rPr>
      </w:pPr>
      <w:r w:rsidRPr="00E02010">
        <w:rPr>
          <w:b/>
          <w:i/>
          <w:color w:val="000000" w:themeColor="text1"/>
        </w:rPr>
        <w:t>ISO 3041</w:t>
      </w:r>
      <w:r>
        <w:rPr>
          <w:b/>
          <w:i/>
          <w:color w:val="000000" w:themeColor="text1"/>
        </w:rPr>
        <w:t>9</w:t>
      </w:r>
      <w:r w:rsidRPr="00E02010">
        <w:rPr>
          <w:b/>
          <w:i/>
          <w:color w:val="000000" w:themeColor="text1"/>
        </w:rPr>
        <w:t xml:space="preserve"> -  </w:t>
      </w:r>
      <w:r>
        <w:rPr>
          <w:b/>
          <w:i/>
          <w:color w:val="000000" w:themeColor="text1"/>
        </w:rPr>
        <w:t>Guidelines for ensuring a positive candid</w:t>
      </w:r>
      <w:r w:rsidR="0060360A">
        <w:rPr>
          <w:b/>
          <w:i/>
          <w:color w:val="000000" w:themeColor="text1"/>
        </w:rPr>
        <w:t>ate experience during the recrui</w:t>
      </w:r>
      <w:r>
        <w:rPr>
          <w:b/>
          <w:i/>
          <w:color w:val="000000" w:themeColor="text1"/>
        </w:rPr>
        <w:t>tment process</w:t>
      </w:r>
    </w:p>
    <w:p w14:paraId="601D1E39" w14:textId="77777777" w:rsidR="001B4135" w:rsidRPr="00E02010" w:rsidRDefault="001B4135" w:rsidP="001B4135">
      <w:pPr>
        <w:jc w:val="both"/>
        <w:rPr>
          <w:i/>
          <w:color w:val="000000" w:themeColor="text1"/>
          <w:sz w:val="22"/>
          <w:szCs w:val="22"/>
        </w:rPr>
      </w:pPr>
    </w:p>
    <w:p w14:paraId="581D5556" w14:textId="2F671514" w:rsidR="001B4135" w:rsidRPr="004B0F0D" w:rsidRDefault="006079B4" w:rsidP="001B4135">
      <w:pPr>
        <w:jc w:val="both"/>
        <w:rPr>
          <w:color w:val="000000" w:themeColor="text1"/>
          <w:sz w:val="22"/>
          <w:szCs w:val="22"/>
        </w:rPr>
      </w:pPr>
      <w:r>
        <w:rPr>
          <w:color w:val="000000" w:themeColor="text1"/>
          <w:sz w:val="22"/>
          <w:szCs w:val="22"/>
        </w:rPr>
        <w:t xml:space="preserve">La création du groupe de travail en charge de l’élaboration de la norme </w:t>
      </w:r>
      <w:r w:rsidR="009D1732">
        <w:rPr>
          <w:color w:val="000000" w:themeColor="text1"/>
          <w:sz w:val="22"/>
          <w:szCs w:val="22"/>
        </w:rPr>
        <w:t>est en cours de vote auprès des pays membres de l’ISO (clôture mi-juin 2017).</w:t>
      </w:r>
    </w:p>
    <w:p w14:paraId="785F9BE8" w14:textId="77777777" w:rsidR="001B4135" w:rsidRDefault="001B4135" w:rsidP="001B4135">
      <w:pPr>
        <w:jc w:val="both"/>
        <w:rPr>
          <w:i/>
          <w:color w:val="FF0000"/>
        </w:rPr>
      </w:pPr>
    </w:p>
    <w:p w14:paraId="0FCA9B30" w14:textId="77777777" w:rsidR="001B4135" w:rsidRPr="00E02010" w:rsidRDefault="001B4135" w:rsidP="001B4135">
      <w:pPr>
        <w:jc w:val="center"/>
        <w:rPr>
          <w:color w:val="000000" w:themeColor="text1"/>
        </w:rPr>
      </w:pPr>
      <w:r w:rsidRPr="00E02010">
        <w:rPr>
          <w:color w:val="000000" w:themeColor="text1"/>
        </w:rPr>
        <w:t>---------------</w:t>
      </w:r>
    </w:p>
    <w:p w14:paraId="6D82DB1A" w14:textId="77777777" w:rsidR="001B2865" w:rsidRDefault="001D20C7" w:rsidP="001B4135">
      <w:pPr>
        <w:jc w:val="both"/>
        <w:rPr>
          <w:color w:val="FF0000"/>
        </w:rPr>
      </w:pPr>
      <w:r>
        <w:rPr>
          <w:color w:val="FF0000"/>
        </w:rPr>
        <w:t xml:space="preserve"> </w:t>
      </w:r>
    </w:p>
    <w:p w14:paraId="1CF5765D" w14:textId="2643BF40" w:rsidR="001B4135" w:rsidRPr="00F80BE0" w:rsidRDefault="00CB299D" w:rsidP="00F80BE0">
      <w:pPr>
        <w:rPr>
          <w:b/>
          <w:color w:val="000000" w:themeColor="text1"/>
        </w:rPr>
      </w:pPr>
      <w:r w:rsidRPr="00F80BE0">
        <w:rPr>
          <w:b/>
          <w:color w:val="000000" w:themeColor="text1"/>
        </w:rPr>
        <w:t>A signaler</w:t>
      </w:r>
      <w:r w:rsidR="001B2865" w:rsidRPr="00F80BE0">
        <w:rPr>
          <w:b/>
          <w:color w:val="000000" w:themeColor="text1"/>
        </w:rPr>
        <w:t xml:space="preserve"> : </w:t>
      </w:r>
      <w:r w:rsidR="00D30F44">
        <w:rPr>
          <w:b/>
          <w:color w:val="000000" w:themeColor="text1"/>
        </w:rPr>
        <w:br/>
      </w:r>
    </w:p>
    <w:p w14:paraId="1FB24AC1" w14:textId="45FDC08D" w:rsidR="001B2865" w:rsidRDefault="001B2865" w:rsidP="00F80BE0">
      <w:pPr>
        <w:pStyle w:val="Pardeliste"/>
        <w:numPr>
          <w:ilvl w:val="0"/>
          <w:numId w:val="14"/>
        </w:numPr>
        <w:rPr>
          <w:color w:val="000000" w:themeColor="text1"/>
        </w:rPr>
      </w:pPr>
      <w:r>
        <w:rPr>
          <w:color w:val="000000" w:themeColor="text1"/>
        </w:rPr>
        <w:t>Au</w:t>
      </w:r>
      <w:r w:rsidR="006079B4">
        <w:rPr>
          <w:color w:val="000000" w:themeColor="text1"/>
        </w:rPr>
        <w:t xml:space="preserve"> niveau du comité technique ISO/</w:t>
      </w:r>
      <w:r>
        <w:rPr>
          <w:color w:val="000000" w:themeColor="text1"/>
        </w:rPr>
        <w:t>TC 260, la nomination d’un nouveau président (</w:t>
      </w:r>
      <w:r w:rsidR="00561F32">
        <w:rPr>
          <w:color w:val="000000" w:themeColor="text1"/>
        </w:rPr>
        <w:t xml:space="preserve">Ronald B. Mackinley) </w:t>
      </w:r>
      <w:r w:rsidR="00ED71F6">
        <w:rPr>
          <w:color w:val="000000" w:themeColor="text1"/>
        </w:rPr>
        <w:t xml:space="preserve">et d’un nouveau secrétaire (Lee Webster), tous deux américains. </w:t>
      </w:r>
      <w:r w:rsidR="00110CA8">
        <w:rPr>
          <w:color w:val="000000" w:themeColor="text1"/>
        </w:rPr>
        <w:br/>
      </w:r>
    </w:p>
    <w:p w14:paraId="78AA899D" w14:textId="65878094" w:rsidR="00ED71F6" w:rsidRDefault="00ED71F6" w:rsidP="00F80BE0">
      <w:pPr>
        <w:pStyle w:val="Pardeliste"/>
        <w:numPr>
          <w:ilvl w:val="0"/>
          <w:numId w:val="14"/>
        </w:numPr>
        <w:rPr>
          <w:color w:val="000000" w:themeColor="text1"/>
        </w:rPr>
      </w:pPr>
      <w:r>
        <w:rPr>
          <w:color w:val="000000" w:themeColor="text1"/>
        </w:rPr>
        <w:t xml:space="preserve">Au niveau français, </w:t>
      </w:r>
      <w:r w:rsidR="000E182D">
        <w:rPr>
          <w:color w:val="000000" w:themeColor="text1"/>
        </w:rPr>
        <w:t>Laurence Breton-Kueny (DRH d’Afnor) succède à Izy Béhar à la présidence de la c</w:t>
      </w:r>
      <w:r w:rsidR="001D05A1">
        <w:rPr>
          <w:color w:val="000000" w:themeColor="text1"/>
        </w:rPr>
        <w:t>ommission de</w:t>
      </w:r>
      <w:r w:rsidR="00F80BE0">
        <w:rPr>
          <w:color w:val="000000" w:themeColor="text1"/>
        </w:rPr>
        <w:t xml:space="preserve"> normalisation X563, commission française miroir </w:t>
      </w:r>
      <w:r w:rsidR="001D05A1">
        <w:rPr>
          <w:color w:val="000000" w:themeColor="text1"/>
        </w:rPr>
        <w:t xml:space="preserve">du TC 260. </w:t>
      </w:r>
    </w:p>
    <w:p w14:paraId="431882E0" w14:textId="77777777" w:rsidR="00D62CAC" w:rsidRDefault="00D62CAC" w:rsidP="00D62CAC">
      <w:pPr>
        <w:rPr>
          <w:color w:val="000000" w:themeColor="text1"/>
        </w:rPr>
      </w:pPr>
    </w:p>
    <w:p w14:paraId="2B70C6DA" w14:textId="2BB159EB" w:rsidR="00D62CAC" w:rsidRPr="00D62CAC" w:rsidRDefault="00D62CAC" w:rsidP="00D62CAC">
      <w:pPr>
        <w:rPr>
          <w:color w:val="000000" w:themeColor="text1"/>
        </w:rPr>
      </w:pPr>
      <w:r>
        <w:rPr>
          <w:color w:val="000000" w:themeColor="text1"/>
        </w:rPr>
        <w:t xml:space="preserve">Merci à Fatma Bensalem d’Afnor, secrétaire de la commission française X563 pour la mise à disposition des éléments ayant permis la rédaction de ces premières pages. </w:t>
      </w:r>
    </w:p>
    <w:p w14:paraId="2D864E9A" w14:textId="77777777" w:rsidR="001B4135" w:rsidRPr="00A57952" w:rsidRDefault="001B4135" w:rsidP="001B4135">
      <w:pPr>
        <w:jc w:val="both"/>
        <w:rPr>
          <w:i/>
          <w:color w:val="FF0000"/>
        </w:rPr>
      </w:pPr>
    </w:p>
    <w:p w14:paraId="7506C7BD" w14:textId="77777777" w:rsidR="003C60FE" w:rsidRPr="00E02010" w:rsidRDefault="003C60FE" w:rsidP="003C60FE">
      <w:pPr>
        <w:jc w:val="center"/>
        <w:rPr>
          <w:color w:val="000000" w:themeColor="text1"/>
        </w:rPr>
      </w:pPr>
      <w:r w:rsidRPr="00E02010">
        <w:rPr>
          <w:color w:val="000000" w:themeColor="text1"/>
        </w:rPr>
        <w:t>---------------</w:t>
      </w:r>
    </w:p>
    <w:p w14:paraId="5CA5BDEC" w14:textId="77777777" w:rsidR="00BC0A3B" w:rsidRDefault="00BC0A3B" w:rsidP="00285D18">
      <w:pPr>
        <w:rPr>
          <w:color w:val="FF0000"/>
        </w:rPr>
      </w:pPr>
    </w:p>
    <w:p w14:paraId="30759CB7" w14:textId="77777777" w:rsidR="00BC0A3B" w:rsidRDefault="00BC0A3B" w:rsidP="00285D18">
      <w:pPr>
        <w:rPr>
          <w:color w:val="FF0000"/>
        </w:rPr>
      </w:pPr>
    </w:p>
    <w:p w14:paraId="14E37136" w14:textId="1E7ABDB4" w:rsidR="003C60FE" w:rsidRPr="003C60FE" w:rsidRDefault="003C60FE" w:rsidP="00285D18">
      <w:pPr>
        <w:rPr>
          <w:b/>
          <w:i/>
          <w:color w:val="000000" w:themeColor="text1"/>
        </w:rPr>
      </w:pPr>
      <w:r w:rsidRPr="003C60FE">
        <w:rPr>
          <w:b/>
          <w:i/>
          <w:color w:val="000000" w:themeColor="text1"/>
        </w:rPr>
        <w:t xml:space="preserve">Le saviez-vous ? </w:t>
      </w:r>
    </w:p>
    <w:p w14:paraId="70AC5661" w14:textId="77777777" w:rsidR="003C60FE" w:rsidRDefault="003C60FE" w:rsidP="00285D18">
      <w:pPr>
        <w:rPr>
          <w:color w:val="000000" w:themeColor="text1"/>
        </w:rPr>
      </w:pPr>
    </w:p>
    <w:p w14:paraId="65CC5C9C" w14:textId="42279E68" w:rsidR="003C60FE" w:rsidRDefault="003C60FE" w:rsidP="00285D18">
      <w:pPr>
        <w:rPr>
          <w:color w:val="000000" w:themeColor="text1"/>
        </w:rPr>
      </w:pPr>
      <w:r>
        <w:rPr>
          <w:color w:val="000000" w:themeColor="text1"/>
        </w:rPr>
        <w:t xml:space="preserve">La BSI a édité fin 2015, la norme PAS 3000 :2015 – Smart working – Code of pratice. </w:t>
      </w:r>
    </w:p>
    <w:p w14:paraId="514794E3" w14:textId="77777777" w:rsidR="003C60FE" w:rsidRDefault="003C60FE" w:rsidP="00285D18">
      <w:pPr>
        <w:rPr>
          <w:color w:val="000000" w:themeColor="text1"/>
        </w:rPr>
      </w:pPr>
    </w:p>
    <w:p w14:paraId="04F4E2BD" w14:textId="027DB9F7" w:rsidR="003C60FE" w:rsidRDefault="003C60FE" w:rsidP="00285D18">
      <w:pPr>
        <w:rPr>
          <w:color w:val="000000" w:themeColor="text1"/>
        </w:rPr>
      </w:pPr>
      <w:r>
        <w:rPr>
          <w:color w:val="000000" w:themeColor="text1"/>
        </w:rPr>
        <w:t xml:space="preserve">Le smart working est défini </w:t>
      </w:r>
      <w:r w:rsidR="006079B4">
        <w:rPr>
          <w:color w:val="000000" w:themeColor="text1"/>
        </w:rPr>
        <w:t xml:space="preserve">ainsi </w:t>
      </w:r>
      <w:r>
        <w:rPr>
          <w:color w:val="000000" w:themeColor="text1"/>
        </w:rPr>
        <w:t>par le CIPD (Chartered Institute of Personnel and Development)</w:t>
      </w:r>
      <w:r w:rsidR="006079B4">
        <w:rPr>
          <w:color w:val="000000" w:themeColor="text1"/>
        </w:rPr>
        <w:t> :</w:t>
      </w:r>
      <w:r>
        <w:rPr>
          <w:color w:val="000000" w:themeColor="text1"/>
        </w:rPr>
        <w:t xml:space="preserve"> « </w:t>
      </w:r>
      <w:r w:rsidRPr="003C60FE">
        <w:rPr>
          <w:i/>
          <w:color w:val="000000" w:themeColor="text1"/>
        </w:rPr>
        <w:t xml:space="preserve">an approach to organizing work that aims to drive greater efficiency and effectiveness in </w:t>
      </w:r>
      <w:r w:rsidRPr="003C60FE">
        <w:rPr>
          <w:i/>
          <w:color w:val="000000" w:themeColor="text1"/>
        </w:rPr>
        <w:lastRenderedPageBreak/>
        <w:t>achieving job outcomes through a combination of flexibility, autonomy and collaboration, in parallel with optimi</w:t>
      </w:r>
      <w:r w:rsidR="006079B4">
        <w:rPr>
          <w:i/>
          <w:color w:val="000000" w:themeColor="text1"/>
        </w:rPr>
        <w:t>z</w:t>
      </w:r>
      <w:r w:rsidRPr="003C60FE">
        <w:rPr>
          <w:i/>
          <w:color w:val="000000" w:themeColor="text1"/>
        </w:rPr>
        <w:t>ing tools and working environments for employees</w:t>
      </w:r>
      <w:r>
        <w:rPr>
          <w:color w:val="000000" w:themeColor="text1"/>
        </w:rPr>
        <w:t> »</w:t>
      </w:r>
    </w:p>
    <w:p w14:paraId="747AD95D" w14:textId="77777777" w:rsidR="003C60FE" w:rsidRDefault="003C60FE" w:rsidP="00285D18">
      <w:pPr>
        <w:rPr>
          <w:color w:val="000000" w:themeColor="text1"/>
        </w:rPr>
      </w:pPr>
    </w:p>
    <w:p w14:paraId="202997CC" w14:textId="77777777" w:rsidR="003C60FE" w:rsidRPr="00E02010" w:rsidRDefault="003C60FE" w:rsidP="003C60FE">
      <w:pPr>
        <w:jc w:val="center"/>
        <w:rPr>
          <w:color w:val="000000" w:themeColor="text1"/>
        </w:rPr>
      </w:pPr>
      <w:r w:rsidRPr="00E02010">
        <w:rPr>
          <w:color w:val="000000" w:themeColor="text1"/>
        </w:rPr>
        <w:t>---------------</w:t>
      </w:r>
    </w:p>
    <w:p w14:paraId="27F1C032" w14:textId="77777777" w:rsidR="003C60FE" w:rsidRDefault="003C60FE" w:rsidP="00285D18">
      <w:pPr>
        <w:rPr>
          <w:color w:val="000000" w:themeColor="text1"/>
        </w:rPr>
      </w:pPr>
    </w:p>
    <w:p w14:paraId="2A9CEDF4" w14:textId="77777777" w:rsidR="003C60FE" w:rsidRDefault="003C60FE" w:rsidP="00285D18">
      <w:pPr>
        <w:rPr>
          <w:color w:val="000000" w:themeColor="text1"/>
        </w:rPr>
      </w:pPr>
    </w:p>
    <w:p w14:paraId="292AA739" w14:textId="4E68D621" w:rsidR="00BC0A3B" w:rsidRDefault="00BC0A3B" w:rsidP="00285D18">
      <w:pPr>
        <w:rPr>
          <w:color w:val="000000" w:themeColor="text1"/>
        </w:rPr>
      </w:pPr>
      <w:r w:rsidRPr="00BC0A3B">
        <w:rPr>
          <w:color w:val="000000" w:themeColor="text1"/>
        </w:rPr>
        <w:t xml:space="preserve">Annexe 1 : </w:t>
      </w:r>
      <w:r w:rsidRPr="0089387A">
        <w:rPr>
          <w:b/>
          <w:color w:val="000000" w:themeColor="text1"/>
        </w:rPr>
        <w:t xml:space="preserve">Structure du </w:t>
      </w:r>
      <w:r w:rsidR="006079B4">
        <w:rPr>
          <w:b/>
          <w:color w:val="000000" w:themeColor="text1"/>
        </w:rPr>
        <w:t>de l’ISO/</w:t>
      </w:r>
      <w:r w:rsidRPr="0089387A">
        <w:rPr>
          <w:b/>
          <w:color w:val="000000" w:themeColor="text1"/>
        </w:rPr>
        <w:t>TC 260</w:t>
      </w:r>
      <w:r w:rsidR="0089387A">
        <w:rPr>
          <w:color w:val="000000" w:themeColor="text1"/>
        </w:rPr>
        <w:t xml:space="preserve"> </w:t>
      </w:r>
    </w:p>
    <w:p w14:paraId="7A7D9A07" w14:textId="77777777" w:rsidR="0089387A" w:rsidRDefault="0089387A" w:rsidP="00285D18">
      <w:pPr>
        <w:rPr>
          <w:color w:val="000000" w:themeColor="text1"/>
        </w:rPr>
      </w:pPr>
    </w:p>
    <w:p w14:paraId="7CFB4FBE" w14:textId="77777777" w:rsidR="00A5096D" w:rsidRPr="00BC0A3B" w:rsidRDefault="00A5096D" w:rsidP="00285D18">
      <w:pPr>
        <w:rPr>
          <w:color w:val="000000" w:themeColor="text1"/>
        </w:rPr>
      </w:pPr>
    </w:p>
    <w:p w14:paraId="039C0CAC" w14:textId="27F89B12" w:rsidR="00BC0A3B" w:rsidRDefault="0089387A" w:rsidP="0089387A">
      <w:pPr>
        <w:pStyle w:val="Pardeliste"/>
        <w:numPr>
          <w:ilvl w:val="0"/>
          <w:numId w:val="14"/>
        </w:numPr>
        <w:rPr>
          <w:color w:val="000000" w:themeColor="text1"/>
        </w:rPr>
      </w:pPr>
      <w:r>
        <w:rPr>
          <w:color w:val="000000" w:themeColor="text1"/>
        </w:rPr>
        <w:t>CAG (Chairman advisory group)</w:t>
      </w:r>
    </w:p>
    <w:p w14:paraId="299082D9" w14:textId="4DDCA46C" w:rsidR="0089387A" w:rsidRDefault="0089387A" w:rsidP="0089387A">
      <w:pPr>
        <w:pStyle w:val="Pardeliste"/>
        <w:numPr>
          <w:ilvl w:val="0"/>
          <w:numId w:val="14"/>
        </w:numPr>
        <w:rPr>
          <w:color w:val="000000" w:themeColor="text1"/>
        </w:rPr>
      </w:pPr>
      <w:r>
        <w:rPr>
          <w:color w:val="000000" w:themeColor="text1"/>
        </w:rPr>
        <w:t>CTG (Commuication task group)</w:t>
      </w:r>
    </w:p>
    <w:p w14:paraId="0761CC06" w14:textId="1C676522" w:rsidR="0089387A" w:rsidRDefault="0089387A" w:rsidP="0089387A">
      <w:pPr>
        <w:pStyle w:val="Pardeliste"/>
        <w:numPr>
          <w:ilvl w:val="0"/>
          <w:numId w:val="14"/>
        </w:numPr>
        <w:rPr>
          <w:color w:val="000000" w:themeColor="text1"/>
        </w:rPr>
      </w:pPr>
      <w:r>
        <w:rPr>
          <w:color w:val="000000" w:themeColor="text1"/>
        </w:rPr>
        <w:t xml:space="preserve">TG 3 : Employability </w:t>
      </w:r>
    </w:p>
    <w:p w14:paraId="5319B5FC" w14:textId="509C903C" w:rsidR="0089387A" w:rsidRDefault="0089387A" w:rsidP="0089387A">
      <w:pPr>
        <w:pStyle w:val="Pardeliste"/>
        <w:numPr>
          <w:ilvl w:val="0"/>
          <w:numId w:val="14"/>
        </w:numPr>
        <w:rPr>
          <w:color w:val="000000" w:themeColor="text1"/>
        </w:rPr>
      </w:pPr>
      <w:r>
        <w:rPr>
          <w:color w:val="000000" w:themeColor="text1"/>
        </w:rPr>
        <w:t xml:space="preserve">WG 1 : Terminology </w:t>
      </w:r>
    </w:p>
    <w:p w14:paraId="021DE9BC" w14:textId="2DFA733F" w:rsidR="0089387A" w:rsidRDefault="0089387A" w:rsidP="0089387A">
      <w:pPr>
        <w:pStyle w:val="Pardeliste"/>
        <w:numPr>
          <w:ilvl w:val="0"/>
          <w:numId w:val="14"/>
        </w:numPr>
        <w:rPr>
          <w:color w:val="000000" w:themeColor="text1"/>
        </w:rPr>
      </w:pPr>
      <w:r>
        <w:rPr>
          <w:color w:val="000000" w:themeColor="text1"/>
        </w:rPr>
        <w:t xml:space="preserve">WG2 : Metrics (impact of hire, quality of hire, turnover metric, retention metric, cost per hire) </w:t>
      </w:r>
    </w:p>
    <w:p w14:paraId="29DA123D" w14:textId="03857813" w:rsidR="0089387A" w:rsidRDefault="0089387A" w:rsidP="0089387A">
      <w:pPr>
        <w:pStyle w:val="Pardeliste"/>
        <w:numPr>
          <w:ilvl w:val="0"/>
          <w:numId w:val="14"/>
        </w:numPr>
        <w:rPr>
          <w:color w:val="000000" w:themeColor="text1"/>
        </w:rPr>
      </w:pPr>
      <w:r>
        <w:rPr>
          <w:color w:val="000000" w:themeColor="text1"/>
        </w:rPr>
        <w:t xml:space="preserve">WG 3 : Human governance </w:t>
      </w:r>
    </w:p>
    <w:p w14:paraId="4A8C4D7C" w14:textId="1EB3BEEE" w:rsidR="0089387A" w:rsidRDefault="0089387A" w:rsidP="0089387A">
      <w:pPr>
        <w:pStyle w:val="Pardeliste"/>
        <w:numPr>
          <w:ilvl w:val="0"/>
          <w:numId w:val="14"/>
        </w:numPr>
        <w:rPr>
          <w:color w:val="000000" w:themeColor="text1"/>
        </w:rPr>
      </w:pPr>
      <w:r>
        <w:rPr>
          <w:color w:val="000000" w:themeColor="text1"/>
        </w:rPr>
        <w:t xml:space="preserve">WG 4 : Workforce planning </w:t>
      </w:r>
    </w:p>
    <w:p w14:paraId="70B0673B" w14:textId="0F58DA7C" w:rsidR="0089387A" w:rsidRDefault="0089387A" w:rsidP="0089387A">
      <w:pPr>
        <w:pStyle w:val="Pardeliste"/>
        <w:numPr>
          <w:ilvl w:val="0"/>
          <w:numId w:val="14"/>
        </w:numPr>
        <w:rPr>
          <w:color w:val="000000" w:themeColor="text1"/>
        </w:rPr>
      </w:pPr>
      <w:r>
        <w:rPr>
          <w:color w:val="000000" w:themeColor="text1"/>
        </w:rPr>
        <w:t xml:space="preserve">WG 5 : Recruitment </w:t>
      </w:r>
    </w:p>
    <w:p w14:paraId="0EBD4DA8" w14:textId="57E63024" w:rsidR="0089387A" w:rsidRDefault="0089387A" w:rsidP="0089387A">
      <w:pPr>
        <w:pStyle w:val="Pardeliste"/>
        <w:numPr>
          <w:ilvl w:val="0"/>
          <w:numId w:val="14"/>
        </w:numPr>
        <w:rPr>
          <w:color w:val="000000" w:themeColor="text1"/>
        </w:rPr>
      </w:pPr>
      <w:r>
        <w:rPr>
          <w:color w:val="000000" w:themeColor="text1"/>
        </w:rPr>
        <w:t xml:space="preserve">WG 6 : Knowledge management </w:t>
      </w:r>
    </w:p>
    <w:p w14:paraId="5ECC1FA0" w14:textId="0F566C3D" w:rsidR="0089387A" w:rsidRDefault="0089387A" w:rsidP="0089387A">
      <w:pPr>
        <w:pStyle w:val="Pardeliste"/>
        <w:numPr>
          <w:ilvl w:val="0"/>
          <w:numId w:val="14"/>
        </w:numPr>
        <w:rPr>
          <w:color w:val="000000" w:themeColor="text1"/>
        </w:rPr>
      </w:pPr>
      <w:r>
        <w:rPr>
          <w:color w:val="000000" w:themeColor="text1"/>
        </w:rPr>
        <w:t xml:space="preserve">WG 7 : Human capital reporting </w:t>
      </w:r>
    </w:p>
    <w:p w14:paraId="2BE51B56" w14:textId="7A953951" w:rsidR="0089387A" w:rsidRDefault="0089387A" w:rsidP="0089387A">
      <w:pPr>
        <w:pStyle w:val="Pardeliste"/>
        <w:numPr>
          <w:ilvl w:val="0"/>
          <w:numId w:val="14"/>
        </w:numPr>
        <w:rPr>
          <w:color w:val="000000" w:themeColor="text1"/>
        </w:rPr>
      </w:pPr>
      <w:r>
        <w:rPr>
          <w:color w:val="000000" w:themeColor="text1"/>
        </w:rPr>
        <w:t xml:space="preserve">WG 8 : Diversity &amp; inclusion </w:t>
      </w:r>
    </w:p>
    <w:p w14:paraId="7C739E84" w14:textId="48134DF7" w:rsidR="0089387A" w:rsidRDefault="0089387A" w:rsidP="0089387A">
      <w:pPr>
        <w:pStyle w:val="Pardeliste"/>
        <w:numPr>
          <w:ilvl w:val="0"/>
          <w:numId w:val="14"/>
        </w:numPr>
        <w:rPr>
          <w:color w:val="000000" w:themeColor="text1"/>
        </w:rPr>
      </w:pPr>
      <w:r>
        <w:rPr>
          <w:color w:val="000000" w:themeColor="text1"/>
        </w:rPr>
        <w:t xml:space="preserve">WG 9 : Professional competency framework </w:t>
      </w:r>
    </w:p>
    <w:p w14:paraId="71DD0B9C" w14:textId="7F8FA361" w:rsidR="0089387A" w:rsidRPr="0089387A" w:rsidRDefault="0089387A" w:rsidP="0089387A">
      <w:pPr>
        <w:pStyle w:val="Pardeliste"/>
        <w:numPr>
          <w:ilvl w:val="0"/>
          <w:numId w:val="14"/>
        </w:numPr>
        <w:rPr>
          <w:color w:val="000000" w:themeColor="text1"/>
        </w:rPr>
      </w:pPr>
      <w:r>
        <w:rPr>
          <w:color w:val="000000" w:themeColor="text1"/>
        </w:rPr>
        <w:t xml:space="preserve">WG 10 : Employee engagement (à valider) </w:t>
      </w:r>
    </w:p>
    <w:p w14:paraId="6494F825" w14:textId="59649AB9" w:rsidR="004E3E88" w:rsidRPr="00BC0A3B" w:rsidRDefault="00E534CA" w:rsidP="00285D18">
      <w:pPr>
        <w:rPr>
          <w:color w:val="FF0000"/>
        </w:rPr>
      </w:pPr>
      <w:r w:rsidRPr="00BC0A3B">
        <w:rPr>
          <w:color w:val="FF0000"/>
        </w:rPr>
        <w:br w:type="page"/>
      </w:r>
    </w:p>
    <w:p w14:paraId="2242C1C2" w14:textId="75CF9429" w:rsidR="00285D18" w:rsidRPr="00AF0335" w:rsidRDefault="00285D18" w:rsidP="00B30E18">
      <w:pPr>
        <w:pBdr>
          <w:top w:val="single" w:sz="4" w:space="1" w:color="auto"/>
          <w:left w:val="single" w:sz="4" w:space="4" w:color="auto"/>
          <w:bottom w:val="single" w:sz="4" w:space="1" w:color="auto"/>
          <w:right w:val="single" w:sz="4" w:space="4" w:color="auto"/>
        </w:pBdr>
        <w:rPr>
          <w:b/>
          <w:color w:val="000000" w:themeColor="text1"/>
        </w:rPr>
      </w:pPr>
      <w:r w:rsidRPr="00AF0335">
        <w:rPr>
          <w:b/>
          <w:color w:val="000000" w:themeColor="text1"/>
        </w:rPr>
        <w:lastRenderedPageBreak/>
        <w:t>Les travaux de normalisation en matière de responsabilité sociétale et de développement durable</w:t>
      </w:r>
    </w:p>
    <w:p w14:paraId="3773D76A" w14:textId="77777777" w:rsidR="00285D18" w:rsidRPr="00AF0335" w:rsidRDefault="00285D18" w:rsidP="00285D18">
      <w:pPr>
        <w:rPr>
          <w:color w:val="000000" w:themeColor="text1"/>
        </w:rPr>
      </w:pPr>
    </w:p>
    <w:p w14:paraId="60DF58A1" w14:textId="77777777" w:rsidR="004E3E88" w:rsidRPr="00AF0335" w:rsidRDefault="004E3E88" w:rsidP="004E3E88">
      <w:pPr>
        <w:jc w:val="center"/>
        <w:rPr>
          <w:color w:val="000000" w:themeColor="text1"/>
        </w:rPr>
      </w:pPr>
      <w:r w:rsidRPr="00AF0335">
        <w:rPr>
          <w:color w:val="000000" w:themeColor="text1"/>
        </w:rPr>
        <w:t>---------------</w:t>
      </w:r>
    </w:p>
    <w:p w14:paraId="559BB1D7" w14:textId="77777777" w:rsidR="0001425B" w:rsidRPr="00AF0335" w:rsidRDefault="0001425B" w:rsidP="00285D18">
      <w:pPr>
        <w:rPr>
          <w:color w:val="000000" w:themeColor="text1"/>
        </w:rPr>
      </w:pPr>
    </w:p>
    <w:p w14:paraId="721BD459" w14:textId="40AC688C" w:rsidR="00285D18" w:rsidRPr="00AF0335" w:rsidRDefault="00285D18" w:rsidP="00285D18">
      <w:pPr>
        <w:pStyle w:val="Pardeliste"/>
        <w:numPr>
          <w:ilvl w:val="0"/>
          <w:numId w:val="5"/>
        </w:numPr>
        <w:rPr>
          <w:b/>
          <w:i/>
          <w:color w:val="000000" w:themeColor="text1"/>
        </w:rPr>
      </w:pPr>
      <w:r w:rsidRPr="00AF0335">
        <w:rPr>
          <w:b/>
          <w:i/>
          <w:color w:val="000000" w:themeColor="text1"/>
        </w:rPr>
        <w:t>Au niveau international/européen</w:t>
      </w:r>
    </w:p>
    <w:p w14:paraId="3133A8D7" w14:textId="21A260A6" w:rsidR="00285D18" w:rsidRPr="00AF0335" w:rsidRDefault="00285D18" w:rsidP="00285D18">
      <w:pPr>
        <w:rPr>
          <w:color w:val="000000" w:themeColor="text1"/>
        </w:rPr>
      </w:pPr>
    </w:p>
    <w:p w14:paraId="046704D2" w14:textId="17043991" w:rsidR="00434DF2" w:rsidRPr="00AF0335" w:rsidRDefault="00434DF2" w:rsidP="00434DF2">
      <w:pPr>
        <w:jc w:val="center"/>
        <w:rPr>
          <w:color w:val="000000" w:themeColor="text1"/>
        </w:rPr>
      </w:pPr>
      <w:r w:rsidRPr="00AF0335">
        <w:rPr>
          <w:color w:val="000000" w:themeColor="text1"/>
        </w:rPr>
        <w:t>---------------</w:t>
      </w:r>
    </w:p>
    <w:p w14:paraId="610BF951" w14:textId="77777777" w:rsidR="00AF0335" w:rsidRPr="00AF0335" w:rsidRDefault="00AF0335" w:rsidP="00434DF2">
      <w:pPr>
        <w:jc w:val="center"/>
        <w:rPr>
          <w:color w:val="000000" w:themeColor="text1"/>
        </w:rPr>
      </w:pPr>
    </w:p>
    <w:p w14:paraId="2A0BF137" w14:textId="77777777" w:rsidR="00AF0335" w:rsidRPr="00AF0335" w:rsidRDefault="00AF0335" w:rsidP="00AF0335">
      <w:pPr>
        <w:rPr>
          <w:b/>
          <w:i/>
          <w:color w:val="000000" w:themeColor="text1"/>
        </w:rPr>
      </w:pPr>
      <w:r w:rsidRPr="00AF0335">
        <w:rPr>
          <w:b/>
          <w:i/>
          <w:color w:val="000000" w:themeColor="text1"/>
        </w:rPr>
        <w:t>Des nouvelles de l’ISO 26000</w:t>
      </w:r>
    </w:p>
    <w:p w14:paraId="27319097" w14:textId="77777777" w:rsidR="00AF0335" w:rsidRPr="00A57952" w:rsidRDefault="00AF0335" w:rsidP="00AF0335">
      <w:pPr>
        <w:rPr>
          <w:color w:val="FF0000"/>
        </w:rPr>
      </w:pPr>
    </w:p>
    <w:p w14:paraId="3384C0E1" w14:textId="74CAC586" w:rsidR="00AF0335" w:rsidRPr="00CD30DD" w:rsidRDefault="00AF0335" w:rsidP="00AF0335">
      <w:pPr>
        <w:jc w:val="both"/>
        <w:rPr>
          <w:color w:val="000000" w:themeColor="text1"/>
          <w:sz w:val="22"/>
          <w:szCs w:val="22"/>
        </w:rPr>
      </w:pPr>
      <w:r w:rsidRPr="00AF0335">
        <w:rPr>
          <w:color w:val="000000" w:themeColor="text1"/>
          <w:sz w:val="22"/>
          <w:szCs w:val="22"/>
        </w:rPr>
        <w:t>L’</w:t>
      </w:r>
      <w:r w:rsidR="00CD30DD">
        <w:rPr>
          <w:color w:val="000000" w:themeColor="text1"/>
          <w:sz w:val="22"/>
          <w:szCs w:val="22"/>
        </w:rPr>
        <w:t xml:space="preserve">ISO vient de lancer l’examen systématique </w:t>
      </w:r>
      <w:r w:rsidR="009452E9">
        <w:rPr>
          <w:color w:val="000000" w:themeColor="text1"/>
          <w:sz w:val="22"/>
          <w:szCs w:val="22"/>
        </w:rPr>
        <w:t>sur</w:t>
      </w:r>
      <w:r w:rsidR="00CD30DD">
        <w:rPr>
          <w:color w:val="000000" w:themeColor="text1"/>
          <w:sz w:val="22"/>
          <w:szCs w:val="22"/>
        </w:rPr>
        <w:t xml:space="preserve"> la norme ISO 26000 « Lignes directrices relatives à la responsabilité sociétale </w:t>
      </w:r>
      <w:r w:rsidR="009452E9">
        <w:rPr>
          <w:color w:val="000000" w:themeColor="text1"/>
          <w:sz w:val="22"/>
          <w:szCs w:val="22"/>
        </w:rPr>
        <w:t>le</w:t>
      </w:r>
      <w:r w:rsidR="00CD30DD">
        <w:rPr>
          <w:color w:val="000000" w:themeColor="text1"/>
          <w:sz w:val="22"/>
          <w:szCs w:val="22"/>
        </w:rPr>
        <w:t xml:space="preserve"> 15 janvier</w:t>
      </w:r>
      <w:r w:rsidR="009452E9">
        <w:rPr>
          <w:color w:val="000000" w:themeColor="text1"/>
          <w:sz w:val="22"/>
          <w:szCs w:val="22"/>
        </w:rPr>
        <w:t xml:space="preserve"> 2017. Cette consultation sera close le</w:t>
      </w:r>
      <w:r w:rsidR="00CD30DD">
        <w:rPr>
          <w:color w:val="000000" w:themeColor="text1"/>
          <w:sz w:val="22"/>
          <w:szCs w:val="22"/>
        </w:rPr>
        <w:t xml:space="preserve"> 5 juin 2017</w:t>
      </w:r>
      <w:r w:rsidRPr="00AF0335">
        <w:rPr>
          <w:i/>
          <w:color w:val="000000" w:themeColor="text1"/>
          <w:sz w:val="22"/>
          <w:szCs w:val="22"/>
        </w:rPr>
        <w:t>.</w:t>
      </w:r>
      <w:r w:rsidR="008562B9">
        <w:rPr>
          <w:color w:val="000000" w:themeColor="text1"/>
          <w:sz w:val="22"/>
          <w:szCs w:val="22"/>
        </w:rPr>
        <w:t xml:space="preserve"> La finalité d’un </w:t>
      </w:r>
      <w:r w:rsidR="00CD30DD">
        <w:rPr>
          <w:color w:val="000000" w:themeColor="text1"/>
          <w:sz w:val="22"/>
          <w:szCs w:val="22"/>
        </w:rPr>
        <w:t xml:space="preserve">examen </w:t>
      </w:r>
      <w:r w:rsidR="008562B9">
        <w:rPr>
          <w:color w:val="000000" w:themeColor="text1"/>
          <w:sz w:val="22"/>
          <w:szCs w:val="22"/>
        </w:rPr>
        <w:t>systématique d’une norme</w:t>
      </w:r>
      <w:r w:rsidR="00CD30DD">
        <w:rPr>
          <w:color w:val="000000" w:themeColor="text1"/>
          <w:sz w:val="22"/>
          <w:szCs w:val="22"/>
        </w:rPr>
        <w:t xml:space="preserve"> </w:t>
      </w:r>
      <w:r w:rsidR="008562B9">
        <w:rPr>
          <w:color w:val="000000" w:themeColor="text1"/>
          <w:sz w:val="22"/>
          <w:szCs w:val="22"/>
        </w:rPr>
        <w:t>est de</w:t>
      </w:r>
      <w:r w:rsidR="00CD30DD">
        <w:rPr>
          <w:color w:val="000000" w:themeColor="text1"/>
          <w:sz w:val="22"/>
          <w:szCs w:val="22"/>
        </w:rPr>
        <w:t xml:space="preserve"> confirmer, réviser ou annuler </w:t>
      </w:r>
      <w:r w:rsidR="008562B9">
        <w:rPr>
          <w:color w:val="000000" w:themeColor="text1"/>
          <w:sz w:val="22"/>
          <w:szCs w:val="22"/>
        </w:rPr>
        <w:t>celle-ci.</w:t>
      </w:r>
    </w:p>
    <w:p w14:paraId="65DB4E4B" w14:textId="77777777" w:rsidR="00AF0335" w:rsidRDefault="00AF0335" w:rsidP="00AF0335">
      <w:pPr>
        <w:jc w:val="both"/>
        <w:rPr>
          <w:color w:val="FF0000"/>
          <w:sz w:val="22"/>
          <w:szCs w:val="22"/>
        </w:rPr>
      </w:pPr>
    </w:p>
    <w:p w14:paraId="21F0D809" w14:textId="280126FC" w:rsidR="008562B9" w:rsidRDefault="008562B9" w:rsidP="00AF0335">
      <w:pPr>
        <w:jc w:val="both"/>
        <w:rPr>
          <w:color w:val="000000" w:themeColor="text1"/>
          <w:sz w:val="22"/>
          <w:szCs w:val="22"/>
        </w:rPr>
      </w:pPr>
      <w:r w:rsidRPr="008562B9">
        <w:rPr>
          <w:color w:val="000000" w:themeColor="text1"/>
          <w:sz w:val="22"/>
          <w:szCs w:val="22"/>
        </w:rPr>
        <w:t xml:space="preserve">Un précédent examen en 2013 avait conduit à </w:t>
      </w:r>
      <w:r>
        <w:rPr>
          <w:color w:val="000000" w:themeColor="text1"/>
          <w:sz w:val="22"/>
          <w:szCs w:val="22"/>
        </w:rPr>
        <w:t>confirmer la norme pour une durée de 3 ans.</w:t>
      </w:r>
    </w:p>
    <w:p w14:paraId="0A9DC8A4" w14:textId="77777777" w:rsidR="00E032DC" w:rsidRDefault="00E032DC" w:rsidP="00AF0335">
      <w:pPr>
        <w:jc w:val="both"/>
        <w:rPr>
          <w:color w:val="000000" w:themeColor="text1"/>
          <w:sz w:val="22"/>
          <w:szCs w:val="22"/>
        </w:rPr>
      </w:pPr>
    </w:p>
    <w:p w14:paraId="62270442" w14:textId="3CB4902F" w:rsidR="00E032DC" w:rsidRDefault="00E032DC" w:rsidP="00AF0335">
      <w:pPr>
        <w:jc w:val="both"/>
        <w:rPr>
          <w:color w:val="000000" w:themeColor="text1"/>
          <w:sz w:val="22"/>
          <w:szCs w:val="22"/>
        </w:rPr>
      </w:pPr>
      <w:r>
        <w:rPr>
          <w:color w:val="000000" w:themeColor="text1"/>
          <w:sz w:val="22"/>
          <w:szCs w:val="22"/>
        </w:rPr>
        <w:t>Sept ateliers régionaux de réflexion sur l’évolution de la norme ISO 26000 s</w:t>
      </w:r>
      <w:r w:rsidR="009452E9">
        <w:rPr>
          <w:color w:val="000000" w:themeColor="text1"/>
          <w:sz w:val="22"/>
          <w:szCs w:val="22"/>
        </w:rPr>
        <w:t>er</w:t>
      </w:r>
      <w:r>
        <w:rPr>
          <w:color w:val="000000" w:themeColor="text1"/>
          <w:sz w:val="22"/>
          <w:szCs w:val="22"/>
        </w:rPr>
        <w:t>ont mis en place par Afnor courant mars et avri</w:t>
      </w:r>
      <w:r w:rsidR="009452E9">
        <w:rPr>
          <w:color w:val="000000" w:themeColor="text1"/>
          <w:sz w:val="22"/>
          <w:szCs w:val="22"/>
        </w:rPr>
        <w:t>l</w:t>
      </w:r>
      <w:r>
        <w:rPr>
          <w:color w:val="000000" w:themeColor="text1"/>
          <w:sz w:val="22"/>
          <w:szCs w:val="22"/>
        </w:rPr>
        <w:t xml:space="preserve"> 2017l. </w:t>
      </w:r>
    </w:p>
    <w:p w14:paraId="6C0A9CE7" w14:textId="77777777" w:rsidR="00261C0F" w:rsidRDefault="00261C0F" w:rsidP="00AF0335">
      <w:pPr>
        <w:jc w:val="both"/>
        <w:rPr>
          <w:color w:val="000000" w:themeColor="text1"/>
          <w:sz w:val="22"/>
          <w:szCs w:val="22"/>
        </w:rPr>
      </w:pPr>
    </w:p>
    <w:p w14:paraId="6E323BE2" w14:textId="593EC3E8" w:rsidR="00261C0F" w:rsidRDefault="00261C0F" w:rsidP="00AF0335">
      <w:pPr>
        <w:jc w:val="both"/>
        <w:rPr>
          <w:color w:val="000000" w:themeColor="text1"/>
          <w:sz w:val="22"/>
          <w:szCs w:val="22"/>
        </w:rPr>
      </w:pPr>
      <w:r>
        <w:rPr>
          <w:color w:val="000000" w:themeColor="text1"/>
          <w:sz w:val="22"/>
          <w:szCs w:val="22"/>
        </w:rPr>
        <w:t>A priori, l’absence de certification ne devrait pas être remise en cau</w:t>
      </w:r>
      <w:r w:rsidR="00E032DC">
        <w:rPr>
          <w:color w:val="000000" w:themeColor="text1"/>
          <w:sz w:val="22"/>
          <w:szCs w:val="22"/>
        </w:rPr>
        <w:t>se malgré le souhait exprimé d’élaborer une norme ISO 26000 certifiable.</w:t>
      </w:r>
    </w:p>
    <w:p w14:paraId="48D6F0C4" w14:textId="77777777" w:rsidR="00E032DC" w:rsidRDefault="00E032DC" w:rsidP="00AF0335">
      <w:pPr>
        <w:jc w:val="both"/>
        <w:rPr>
          <w:color w:val="000000" w:themeColor="text1"/>
          <w:sz w:val="22"/>
          <w:szCs w:val="22"/>
        </w:rPr>
      </w:pPr>
    </w:p>
    <w:p w14:paraId="78DF6465" w14:textId="415F932C" w:rsidR="00E032DC" w:rsidRDefault="00E032DC" w:rsidP="00AF0335">
      <w:pPr>
        <w:jc w:val="both"/>
        <w:rPr>
          <w:color w:val="000000" w:themeColor="text1"/>
          <w:sz w:val="22"/>
          <w:szCs w:val="22"/>
        </w:rPr>
      </w:pPr>
      <w:r>
        <w:rPr>
          <w:color w:val="000000" w:themeColor="text1"/>
          <w:sz w:val="22"/>
          <w:szCs w:val="22"/>
        </w:rPr>
        <w:t>Un document de correspondance entre la norme ISO 26000 et les principes directeurs de l’OCDE vient d’être élaboré.</w:t>
      </w:r>
    </w:p>
    <w:p w14:paraId="0F51244B" w14:textId="77777777" w:rsidR="00974220" w:rsidRPr="008562B9" w:rsidRDefault="00974220" w:rsidP="00AF0335">
      <w:pPr>
        <w:jc w:val="both"/>
        <w:rPr>
          <w:i/>
          <w:color w:val="000000" w:themeColor="text1"/>
          <w:sz w:val="22"/>
          <w:szCs w:val="22"/>
        </w:rPr>
      </w:pPr>
    </w:p>
    <w:p w14:paraId="29576F2F" w14:textId="77777777" w:rsidR="00AF0335" w:rsidRPr="008562B9" w:rsidRDefault="00AF0335" w:rsidP="00AF0335">
      <w:pPr>
        <w:jc w:val="center"/>
        <w:rPr>
          <w:color w:val="000000" w:themeColor="text1"/>
        </w:rPr>
      </w:pPr>
      <w:r w:rsidRPr="008562B9">
        <w:rPr>
          <w:color w:val="000000" w:themeColor="text1"/>
        </w:rPr>
        <w:t>---------------</w:t>
      </w:r>
    </w:p>
    <w:p w14:paraId="6EF250A0" w14:textId="77777777" w:rsidR="00AF0335" w:rsidRPr="00A57952" w:rsidRDefault="00AF0335" w:rsidP="00CD30DD">
      <w:pPr>
        <w:rPr>
          <w:color w:val="FF0000"/>
        </w:rPr>
      </w:pPr>
    </w:p>
    <w:p w14:paraId="31874E50" w14:textId="62071876" w:rsidR="00434DF2" w:rsidRPr="00B53B5A" w:rsidRDefault="00434DF2" w:rsidP="00285D18">
      <w:pPr>
        <w:rPr>
          <w:b/>
          <w:i/>
          <w:color w:val="000000" w:themeColor="text1"/>
        </w:rPr>
      </w:pPr>
      <w:r w:rsidRPr="00B53B5A">
        <w:rPr>
          <w:b/>
          <w:i/>
          <w:color w:val="000000" w:themeColor="text1"/>
        </w:rPr>
        <w:t>Un</w:t>
      </w:r>
      <w:r w:rsidR="00B53B5A" w:rsidRPr="00B53B5A">
        <w:rPr>
          <w:b/>
          <w:i/>
          <w:color w:val="000000" w:themeColor="text1"/>
        </w:rPr>
        <w:t xml:space="preserve">e nouvelle structure ISO : le TC 309 </w:t>
      </w:r>
    </w:p>
    <w:p w14:paraId="2ED4209D" w14:textId="77777777" w:rsidR="00434DF2" w:rsidRPr="00B53B5A" w:rsidRDefault="00434DF2" w:rsidP="00285D18">
      <w:pPr>
        <w:rPr>
          <w:color w:val="000000" w:themeColor="text1"/>
        </w:rPr>
      </w:pPr>
    </w:p>
    <w:p w14:paraId="3EF62C27" w14:textId="3EE97DC0" w:rsidR="00DA11DF" w:rsidRDefault="00B53B5A" w:rsidP="00285D18">
      <w:pPr>
        <w:rPr>
          <w:color w:val="000000" w:themeColor="text1"/>
          <w:sz w:val="22"/>
          <w:szCs w:val="22"/>
        </w:rPr>
      </w:pPr>
      <w:r w:rsidRPr="00B53B5A">
        <w:rPr>
          <w:color w:val="000000" w:themeColor="text1"/>
          <w:sz w:val="22"/>
          <w:szCs w:val="22"/>
        </w:rPr>
        <w:t>L’ISO vient d’officialiser la création</w:t>
      </w:r>
      <w:r w:rsidR="00DA11DF" w:rsidRPr="00B53B5A">
        <w:rPr>
          <w:color w:val="000000" w:themeColor="text1"/>
          <w:sz w:val="22"/>
          <w:szCs w:val="22"/>
        </w:rPr>
        <w:t xml:space="preserve"> d’un comité technique international </w:t>
      </w:r>
      <w:r w:rsidR="00C44F1D">
        <w:rPr>
          <w:color w:val="000000" w:themeColor="text1"/>
          <w:sz w:val="22"/>
          <w:szCs w:val="22"/>
        </w:rPr>
        <w:t xml:space="preserve">ISO/TC 309 </w:t>
      </w:r>
      <w:r w:rsidR="00DA11DF" w:rsidRPr="00B53B5A">
        <w:rPr>
          <w:color w:val="000000" w:themeColor="text1"/>
          <w:sz w:val="22"/>
          <w:szCs w:val="22"/>
        </w:rPr>
        <w:t>intitulé « G</w:t>
      </w:r>
      <w:r w:rsidR="00C44F1D">
        <w:rPr>
          <w:color w:val="000000" w:themeColor="text1"/>
          <w:sz w:val="22"/>
          <w:szCs w:val="22"/>
        </w:rPr>
        <w:t xml:space="preserve">ouvernance des organisations » (présidence et secrétariat assurés par la Grande-Bretagne). </w:t>
      </w:r>
    </w:p>
    <w:p w14:paraId="02A63FC8" w14:textId="77777777" w:rsidR="00C44F1D" w:rsidRDefault="00C44F1D" w:rsidP="00285D18">
      <w:pPr>
        <w:rPr>
          <w:color w:val="000000" w:themeColor="text1"/>
          <w:sz w:val="22"/>
          <w:szCs w:val="22"/>
        </w:rPr>
      </w:pPr>
    </w:p>
    <w:p w14:paraId="1E89FB08" w14:textId="71ABC503" w:rsidR="00C44F1D" w:rsidRDefault="00C44F1D" w:rsidP="00285D18">
      <w:pPr>
        <w:rPr>
          <w:color w:val="000000" w:themeColor="text1"/>
          <w:sz w:val="22"/>
          <w:szCs w:val="22"/>
        </w:rPr>
      </w:pPr>
      <w:r>
        <w:rPr>
          <w:color w:val="000000" w:themeColor="text1"/>
          <w:sz w:val="22"/>
          <w:szCs w:val="22"/>
        </w:rPr>
        <w:t xml:space="preserve">Sa structure est la suivante : </w:t>
      </w:r>
    </w:p>
    <w:p w14:paraId="29C75D5F" w14:textId="77777777" w:rsidR="00C44F1D" w:rsidRDefault="00C44F1D" w:rsidP="00C44F1D">
      <w:pPr>
        <w:pStyle w:val="Pardeliste"/>
        <w:numPr>
          <w:ilvl w:val="0"/>
          <w:numId w:val="14"/>
        </w:numPr>
        <w:rPr>
          <w:color w:val="000000" w:themeColor="text1"/>
          <w:sz w:val="22"/>
          <w:szCs w:val="22"/>
        </w:rPr>
      </w:pPr>
      <w:r>
        <w:rPr>
          <w:color w:val="000000" w:themeColor="text1"/>
          <w:sz w:val="22"/>
          <w:szCs w:val="22"/>
        </w:rPr>
        <w:t>Un groupe ad ‘hoc « feuille de route stratégique »</w:t>
      </w:r>
    </w:p>
    <w:p w14:paraId="06B2768D" w14:textId="616B91FE" w:rsidR="001A64EE" w:rsidRPr="009452E9" w:rsidRDefault="00C44F1D" w:rsidP="009452E9">
      <w:pPr>
        <w:pStyle w:val="Pardeliste"/>
        <w:numPr>
          <w:ilvl w:val="0"/>
          <w:numId w:val="14"/>
        </w:numPr>
        <w:rPr>
          <w:color w:val="000000" w:themeColor="text1"/>
          <w:sz w:val="22"/>
          <w:szCs w:val="22"/>
        </w:rPr>
      </w:pPr>
      <w:r>
        <w:rPr>
          <w:color w:val="000000" w:themeColor="text1"/>
          <w:sz w:val="22"/>
          <w:szCs w:val="22"/>
        </w:rPr>
        <w:lastRenderedPageBreak/>
        <w:t xml:space="preserve">Un groupe consultatif « Communication et engagement » </w:t>
      </w:r>
    </w:p>
    <w:p w14:paraId="671AF93B" w14:textId="77777777" w:rsidR="009719C4" w:rsidRDefault="009719C4" w:rsidP="00C44F1D">
      <w:pPr>
        <w:pStyle w:val="Pardeliste"/>
        <w:numPr>
          <w:ilvl w:val="0"/>
          <w:numId w:val="14"/>
        </w:numPr>
        <w:rPr>
          <w:color w:val="000000" w:themeColor="text1"/>
          <w:sz w:val="22"/>
          <w:szCs w:val="22"/>
        </w:rPr>
      </w:pPr>
      <w:r>
        <w:rPr>
          <w:color w:val="000000" w:themeColor="text1"/>
          <w:sz w:val="22"/>
          <w:szCs w:val="22"/>
        </w:rPr>
        <w:t>Un groupe ad ‘hoc « Gouvernance des organisations »</w:t>
      </w:r>
    </w:p>
    <w:p w14:paraId="077AC18A" w14:textId="76CCB934" w:rsidR="001A64EE" w:rsidRPr="00FB05A8" w:rsidRDefault="001A64EE" w:rsidP="00FB05A8">
      <w:pPr>
        <w:rPr>
          <w:color w:val="000000" w:themeColor="text1"/>
          <w:sz w:val="22"/>
          <w:szCs w:val="22"/>
        </w:rPr>
      </w:pPr>
      <w:r>
        <w:rPr>
          <w:color w:val="000000" w:themeColor="text1"/>
          <w:sz w:val="22"/>
          <w:szCs w:val="22"/>
        </w:rPr>
        <w:t xml:space="preserve">Note </w:t>
      </w:r>
      <w:r w:rsidR="00FB05A8">
        <w:rPr>
          <w:color w:val="000000" w:themeColor="text1"/>
          <w:sz w:val="22"/>
          <w:szCs w:val="22"/>
        </w:rPr>
        <w:t>: le terme « gouvernance » possède 17 définitions da</w:t>
      </w:r>
      <w:r>
        <w:rPr>
          <w:color w:val="000000" w:themeColor="text1"/>
          <w:sz w:val="22"/>
          <w:szCs w:val="22"/>
        </w:rPr>
        <w:t>ns la collection de normes ISO.</w:t>
      </w:r>
      <w:r w:rsidR="00FB05A8">
        <w:rPr>
          <w:color w:val="000000" w:themeColor="text1"/>
          <w:sz w:val="22"/>
          <w:szCs w:val="22"/>
        </w:rPr>
        <w:t xml:space="preserve"> </w:t>
      </w:r>
    </w:p>
    <w:p w14:paraId="36DE75E2" w14:textId="77777777" w:rsidR="009719C4" w:rsidRDefault="009719C4" w:rsidP="00C44F1D">
      <w:pPr>
        <w:pStyle w:val="Pardeliste"/>
        <w:numPr>
          <w:ilvl w:val="0"/>
          <w:numId w:val="14"/>
        </w:numPr>
        <w:rPr>
          <w:color w:val="000000" w:themeColor="text1"/>
          <w:sz w:val="22"/>
          <w:szCs w:val="22"/>
        </w:rPr>
      </w:pPr>
      <w:r>
        <w:rPr>
          <w:color w:val="000000" w:themeColor="text1"/>
          <w:sz w:val="22"/>
          <w:szCs w:val="22"/>
        </w:rPr>
        <w:t xml:space="preserve">Un groupe ad ‘hoc « Whistleblowing » </w:t>
      </w:r>
    </w:p>
    <w:p w14:paraId="0B5F7519" w14:textId="26E9EA5E" w:rsidR="001A64EE" w:rsidRPr="001A64EE" w:rsidRDefault="001A64EE" w:rsidP="001A64EE">
      <w:pPr>
        <w:rPr>
          <w:color w:val="000000" w:themeColor="text1"/>
          <w:sz w:val="22"/>
          <w:szCs w:val="22"/>
        </w:rPr>
      </w:pPr>
      <w:r>
        <w:rPr>
          <w:color w:val="000000" w:themeColor="text1"/>
          <w:sz w:val="22"/>
          <w:szCs w:val="22"/>
        </w:rPr>
        <w:t xml:space="preserve">Note : la BSI possède dans sa collection de normes, une norme BSI PAS 1998 – Whistleblowing </w:t>
      </w:r>
      <w:r w:rsidR="00D20CD6">
        <w:rPr>
          <w:color w:val="000000" w:themeColor="text1"/>
          <w:sz w:val="22"/>
          <w:szCs w:val="22"/>
        </w:rPr>
        <w:t>arrangements code of pratice</w:t>
      </w:r>
      <w:r>
        <w:rPr>
          <w:color w:val="000000" w:themeColor="text1"/>
          <w:sz w:val="22"/>
          <w:szCs w:val="22"/>
        </w:rPr>
        <w:t xml:space="preserve"> qu’elle prévoit de soumettre à l’ISO.</w:t>
      </w:r>
    </w:p>
    <w:p w14:paraId="681BE8C4" w14:textId="7234B9B0" w:rsidR="001A64EE" w:rsidRPr="009452E9" w:rsidRDefault="009719C4" w:rsidP="009452E9">
      <w:pPr>
        <w:pStyle w:val="Pardeliste"/>
        <w:numPr>
          <w:ilvl w:val="0"/>
          <w:numId w:val="14"/>
        </w:numPr>
        <w:rPr>
          <w:color w:val="000000" w:themeColor="text1"/>
          <w:sz w:val="22"/>
          <w:szCs w:val="22"/>
        </w:rPr>
      </w:pPr>
      <w:r>
        <w:rPr>
          <w:color w:val="000000" w:themeColor="text1"/>
          <w:sz w:val="22"/>
          <w:szCs w:val="22"/>
        </w:rPr>
        <w:t>Un groupe ad ‘hoc « Compliance »</w:t>
      </w:r>
      <w:r w:rsidR="00E032DC">
        <w:rPr>
          <w:color w:val="000000" w:themeColor="text1"/>
          <w:sz w:val="22"/>
          <w:szCs w:val="22"/>
        </w:rPr>
        <w:t>, notamment chargé du suivi de la norme ISO 37001 – Systèmes de management de l’anticorruption</w:t>
      </w:r>
    </w:p>
    <w:p w14:paraId="058F169D" w14:textId="0D5F05C3" w:rsidR="009719C4" w:rsidRDefault="009719C4" w:rsidP="00C44F1D">
      <w:pPr>
        <w:pStyle w:val="Pardeliste"/>
        <w:numPr>
          <w:ilvl w:val="0"/>
          <w:numId w:val="14"/>
        </w:numPr>
        <w:rPr>
          <w:color w:val="000000" w:themeColor="text1"/>
          <w:sz w:val="22"/>
          <w:szCs w:val="22"/>
        </w:rPr>
      </w:pPr>
      <w:r>
        <w:rPr>
          <w:color w:val="000000" w:themeColor="text1"/>
          <w:sz w:val="22"/>
          <w:szCs w:val="22"/>
        </w:rPr>
        <w:t>Un groupe ad ‘hoc « Anti-corruption »</w:t>
      </w:r>
      <w:r w:rsidR="00E032DC">
        <w:rPr>
          <w:color w:val="000000" w:themeColor="text1"/>
          <w:sz w:val="22"/>
          <w:szCs w:val="22"/>
        </w:rPr>
        <w:t>, en charge du suivi de la norme ISO 19600 – Syst</w:t>
      </w:r>
      <w:r w:rsidR="009452E9">
        <w:rPr>
          <w:color w:val="000000" w:themeColor="text1"/>
          <w:sz w:val="22"/>
          <w:szCs w:val="22"/>
        </w:rPr>
        <w:t>è</w:t>
      </w:r>
      <w:r w:rsidR="00E032DC">
        <w:rPr>
          <w:color w:val="000000" w:themeColor="text1"/>
          <w:sz w:val="22"/>
          <w:szCs w:val="22"/>
        </w:rPr>
        <w:t>mes de management de la conformité.</w:t>
      </w:r>
    </w:p>
    <w:p w14:paraId="68774B58" w14:textId="77777777" w:rsidR="00261C0F" w:rsidRDefault="00261C0F" w:rsidP="00261C0F">
      <w:pPr>
        <w:rPr>
          <w:color w:val="000000" w:themeColor="text1"/>
          <w:sz w:val="22"/>
          <w:szCs w:val="22"/>
        </w:rPr>
      </w:pPr>
    </w:p>
    <w:p w14:paraId="7ACA940A" w14:textId="3A32C5B1" w:rsidR="00261C0F" w:rsidRPr="00261C0F" w:rsidRDefault="00261C0F" w:rsidP="00261C0F">
      <w:pPr>
        <w:rPr>
          <w:color w:val="000000" w:themeColor="text1"/>
          <w:sz w:val="22"/>
          <w:szCs w:val="22"/>
        </w:rPr>
      </w:pPr>
      <w:r>
        <w:rPr>
          <w:color w:val="000000" w:themeColor="text1"/>
          <w:sz w:val="22"/>
          <w:szCs w:val="22"/>
        </w:rPr>
        <w:t>En France,</w:t>
      </w:r>
      <w:r w:rsidR="00E032DC">
        <w:rPr>
          <w:color w:val="000000" w:themeColor="text1"/>
          <w:sz w:val="22"/>
          <w:szCs w:val="22"/>
        </w:rPr>
        <w:t xml:space="preserve"> </w:t>
      </w:r>
      <w:r>
        <w:rPr>
          <w:color w:val="000000" w:themeColor="text1"/>
          <w:sz w:val="22"/>
          <w:szCs w:val="22"/>
        </w:rPr>
        <w:t>la commission de normalisation « Compliance et anti-corruption »</w:t>
      </w:r>
      <w:r w:rsidR="00E032DC">
        <w:rPr>
          <w:color w:val="000000" w:themeColor="text1"/>
          <w:sz w:val="22"/>
          <w:szCs w:val="22"/>
        </w:rPr>
        <w:t xml:space="preserve"> </w:t>
      </w:r>
      <w:r>
        <w:rPr>
          <w:color w:val="000000" w:themeColor="text1"/>
          <w:sz w:val="22"/>
          <w:szCs w:val="22"/>
        </w:rPr>
        <w:t>est en charge de suivre l’évolution des travaux du TC 309.</w:t>
      </w:r>
    </w:p>
    <w:p w14:paraId="757E0DED" w14:textId="77777777" w:rsidR="00B048C1" w:rsidRDefault="00B048C1" w:rsidP="00B048C1">
      <w:pPr>
        <w:rPr>
          <w:color w:val="000000" w:themeColor="text1"/>
          <w:sz w:val="22"/>
          <w:szCs w:val="22"/>
        </w:rPr>
      </w:pPr>
    </w:p>
    <w:p w14:paraId="2EA93EBC" w14:textId="77777777" w:rsidR="00B048C1" w:rsidRPr="00B048C1" w:rsidRDefault="00B048C1" w:rsidP="00B048C1">
      <w:pPr>
        <w:jc w:val="center"/>
        <w:rPr>
          <w:color w:val="000000" w:themeColor="text1"/>
        </w:rPr>
      </w:pPr>
      <w:r w:rsidRPr="00B048C1">
        <w:rPr>
          <w:color w:val="000000" w:themeColor="text1"/>
        </w:rPr>
        <w:t>---------------</w:t>
      </w:r>
    </w:p>
    <w:p w14:paraId="25DF3CCD" w14:textId="77777777" w:rsidR="00B048C1" w:rsidRPr="00B048C1" w:rsidRDefault="00B048C1" w:rsidP="00B048C1">
      <w:pPr>
        <w:rPr>
          <w:color w:val="000000" w:themeColor="text1"/>
          <w:sz w:val="22"/>
          <w:szCs w:val="22"/>
        </w:rPr>
      </w:pPr>
    </w:p>
    <w:p w14:paraId="2DD88E03" w14:textId="1D64AE58" w:rsidR="00B048C1" w:rsidRPr="00261C0F" w:rsidRDefault="00B048C1" w:rsidP="00B048C1">
      <w:pPr>
        <w:rPr>
          <w:b/>
          <w:color w:val="000000" w:themeColor="text1"/>
          <w:sz w:val="22"/>
          <w:szCs w:val="22"/>
        </w:rPr>
      </w:pPr>
      <w:r w:rsidRPr="00261C0F">
        <w:rPr>
          <w:b/>
          <w:color w:val="000000" w:themeColor="text1"/>
          <w:sz w:val="22"/>
          <w:szCs w:val="22"/>
        </w:rPr>
        <w:t xml:space="preserve">Projet de création d’un groupe de travail à l’ISO sur des lignes directrices pour l’utilisation de la norme ISO 26000 dans le secteur agroalimentaire </w:t>
      </w:r>
    </w:p>
    <w:p w14:paraId="4545AF58" w14:textId="77777777" w:rsidR="00B048C1" w:rsidRDefault="00B048C1" w:rsidP="00B048C1">
      <w:pPr>
        <w:rPr>
          <w:color w:val="000000" w:themeColor="text1"/>
          <w:sz w:val="22"/>
          <w:szCs w:val="22"/>
        </w:rPr>
      </w:pPr>
    </w:p>
    <w:p w14:paraId="3A81249C" w14:textId="6EA602E4" w:rsidR="00B048C1" w:rsidRDefault="009452E9" w:rsidP="00B048C1">
      <w:pPr>
        <w:rPr>
          <w:color w:val="000000" w:themeColor="text1"/>
          <w:sz w:val="22"/>
          <w:szCs w:val="22"/>
        </w:rPr>
      </w:pPr>
      <w:r>
        <w:rPr>
          <w:color w:val="000000" w:themeColor="text1"/>
          <w:sz w:val="22"/>
          <w:szCs w:val="22"/>
        </w:rPr>
        <w:t>Ce nouveau thème de travail</w:t>
      </w:r>
      <w:r w:rsidR="00261C0F">
        <w:rPr>
          <w:color w:val="000000" w:themeColor="text1"/>
          <w:sz w:val="22"/>
          <w:szCs w:val="22"/>
        </w:rPr>
        <w:t xml:space="preserve"> a été approuvé à l’ISO : ce sera la norme ISO 26030. </w:t>
      </w:r>
    </w:p>
    <w:p w14:paraId="2106AFD4" w14:textId="77777777" w:rsidR="00261C0F" w:rsidRDefault="00261C0F" w:rsidP="00B048C1">
      <w:pPr>
        <w:rPr>
          <w:color w:val="000000" w:themeColor="text1"/>
          <w:sz w:val="22"/>
          <w:szCs w:val="22"/>
        </w:rPr>
      </w:pPr>
    </w:p>
    <w:p w14:paraId="0510755A" w14:textId="2A9EE300" w:rsidR="00261C0F" w:rsidRDefault="00261C0F" w:rsidP="00B048C1">
      <w:pPr>
        <w:rPr>
          <w:color w:val="000000" w:themeColor="text1"/>
          <w:sz w:val="22"/>
          <w:szCs w:val="22"/>
        </w:rPr>
      </w:pPr>
      <w:r>
        <w:rPr>
          <w:color w:val="000000" w:themeColor="text1"/>
          <w:sz w:val="22"/>
          <w:szCs w:val="22"/>
        </w:rPr>
        <w:t xml:space="preserve">Un groupe de travail (WG 21) a été créé au sein de l’ISO/TC 34 « Produits alimentaires ». L’animation et le secrétariat de ce groupe sont assurés par la France (Coop de France et Afnor). Une commission de normalisation française a été également créée. </w:t>
      </w:r>
    </w:p>
    <w:p w14:paraId="0F7CAFFE" w14:textId="77777777" w:rsidR="00261C0F" w:rsidRDefault="00261C0F" w:rsidP="00B048C1">
      <w:pPr>
        <w:rPr>
          <w:color w:val="000000" w:themeColor="text1"/>
          <w:sz w:val="22"/>
          <w:szCs w:val="22"/>
        </w:rPr>
      </w:pPr>
    </w:p>
    <w:p w14:paraId="3D785DCB" w14:textId="4DB30944" w:rsidR="00261C0F" w:rsidRDefault="00261C0F" w:rsidP="00B048C1">
      <w:pPr>
        <w:rPr>
          <w:color w:val="000000" w:themeColor="text1"/>
          <w:sz w:val="22"/>
          <w:szCs w:val="22"/>
        </w:rPr>
      </w:pPr>
      <w:r>
        <w:rPr>
          <w:color w:val="000000" w:themeColor="text1"/>
          <w:sz w:val="22"/>
          <w:szCs w:val="22"/>
        </w:rPr>
        <w:t xml:space="preserve">La date prévisionnelle de publication de la norme a été fixée pour fin 2018. </w:t>
      </w:r>
    </w:p>
    <w:p w14:paraId="2C775230" w14:textId="77777777" w:rsidR="00261C0F" w:rsidRDefault="00261C0F" w:rsidP="00B048C1">
      <w:pPr>
        <w:rPr>
          <w:color w:val="000000" w:themeColor="text1"/>
          <w:sz w:val="22"/>
          <w:szCs w:val="22"/>
        </w:rPr>
      </w:pPr>
    </w:p>
    <w:p w14:paraId="7898D772" w14:textId="666D57CB" w:rsidR="00261C0F" w:rsidRPr="00B048C1" w:rsidRDefault="00261C0F" w:rsidP="00B048C1">
      <w:pPr>
        <w:rPr>
          <w:color w:val="000000" w:themeColor="text1"/>
          <w:sz w:val="22"/>
          <w:szCs w:val="22"/>
        </w:rPr>
      </w:pPr>
      <w:r>
        <w:rPr>
          <w:color w:val="000000" w:themeColor="text1"/>
          <w:sz w:val="22"/>
          <w:szCs w:val="22"/>
        </w:rPr>
        <w:t>Rappel : le document français AC X30-030 « </w:t>
      </w:r>
      <w:r w:rsidR="009452E9">
        <w:rPr>
          <w:color w:val="000000" w:themeColor="text1"/>
          <w:sz w:val="22"/>
          <w:szCs w:val="22"/>
        </w:rPr>
        <w:t>G</w:t>
      </w:r>
      <w:r>
        <w:rPr>
          <w:color w:val="000000" w:themeColor="text1"/>
          <w:sz w:val="22"/>
          <w:szCs w:val="22"/>
        </w:rPr>
        <w:t xml:space="preserve">uide d’utilisation de la norme ISO 26000 pour le secteur agroalimentaire » a été versé dans les documents de base du groupe. </w:t>
      </w:r>
    </w:p>
    <w:p w14:paraId="5B6BED12" w14:textId="6465A0EF" w:rsidR="00015D7F" w:rsidRPr="00B048C1" w:rsidRDefault="00015D7F" w:rsidP="00015D7F">
      <w:pPr>
        <w:rPr>
          <w:color w:val="000000" w:themeColor="text1"/>
          <w:sz w:val="22"/>
          <w:szCs w:val="22"/>
        </w:rPr>
      </w:pPr>
    </w:p>
    <w:p w14:paraId="5672B004" w14:textId="77777777" w:rsidR="00015D7F" w:rsidRPr="00261C0F" w:rsidRDefault="00015D7F" w:rsidP="00015D7F">
      <w:pPr>
        <w:jc w:val="center"/>
        <w:rPr>
          <w:color w:val="000000" w:themeColor="text1"/>
        </w:rPr>
      </w:pPr>
      <w:r w:rsidRPr="00261C0F">
        <w:rPr>
          <w:color w:val="000000" w:themeColor="text1"/>
        </w:rPr>
        <w:t>---------------</w:t>
      </w:r>
    </w:p>
    <w:p w14:paraId="29DBEF74" w14:textId="2D8843AF" w:rsidR="00B048C1" w:rsidRPr="00A914C5" w:rsidRDefault="00015D7F" w:rsidP="00285D18">
      <w:pPr>
        <w:rPr>
          <w:color w:val="FF0000"/>
        </w:rPr>
      </w:pPr>
      <w:r w:rsidRPr="00A57952">
        <w:rPr>
          <w:color w:val="FF0000"/>
          <w:sz w:val="22"/>
          <w:szCs w:val="22"/>
        </w:rPr>
        <w:t xml:space="preserve"> </w:t>
      </w:r>
    </w:p>
    <w:p w14:paraId="60C3C6D2" w14:textId="7F67B35E" w:rsidR="009D02B8" w:rsidRPr="00A914C5" w:rsidRDefault="009D02B8" w:rsidP="00285D18">
      <w:pPr>
        <w:rPr>
          <w:b/>
          <w:i/>
          <w:color w:val="000000" w:themeColor="text1"/>
        </w:rPr>
      </w:pPr>
      <w:r w:rsidRPr="00A914C5">
        <w:rPr>
          <w:b/>
          <w:i/>
          <w:color w:val="000000" w:themeColor="text1"/>
        </w:rPr>
        <w:lastRenderedPageBreak/>
        <w:t xml:space="preserve">Révision de la norme ISO 31000 – Management du risque – Principes et lignes directrices </w:t>
      </w:r>
    </w:p>
    <w:p w14:paraId="73477DFF" w14:textId="77777777" w:rsidR="009D02B8" w:rsidRPr="00A914C5" w:rsidRDefault="009D02B8" w:rsidP="00285D18">
      <w:pPr>
        <w:rPr>
          <w:color w:val="000000" w:themeColor="text1"/>
          <w:sz w:val="22"/>
          <w:szCs w:val="22"/>
        </w:rPr>
      </w:pPr>
    </w:p>
    <w:p w14:paraId="169503D8" w14:textId="2745F2B9" w:rsidR="00384C20" w:rsidRDefault="00A914C5" w:rsidP="00285D18">
      <w:pPr>
        <w:rPr>
          <w:color w:val="000000" w:themeColor="text1"/>
          <w:sz w:val="22"/>
          <w:szCs w:val="22"/>
        </w:rPr>
      </w:pPr>
      <w:r>
        <w:rPr>
          <w:color w:val="000000" w:themeColor="text1"/>
          <w:sz w:val="22"/>
          <w:szCs w:val="22"/>
        </w:rPr>
        <w:t xml:space="preserve">Le texte </w:t>
      </w:r>
      <w:r w:rsidR="00024964">
        <w:rPr>
          <w:color w:val="000000" w:themeColor="text1"/>
          <w:sz w:val="22"/>
          <w:szCs w:val="22"/>
        </w:rPr>
        <w:t>en français du DIS est</w:t>
      </w:r>
      <w:r>
        <w:rPr>
          <w:color w:val="000000" w:themeColor="text1"/>
          <w:sz w:val="22"/>
          <w:szCs w:val="22"/>
        </w:rPr>
        <w:t xml:space="preserve"> disponible</w:t>
      </w:r>
      <w:r w:rsidR="00024964">
        <w:rPr>
          <w:color w:val="000000" w:themeColor="text1"/>
          <w:sz w:val="22"/>
          <w:szCs w:val="22"/>
        </w:rPr>
        <w:t xml:space="preserve"> depuis le 17 février 2017</w:t>
      </w:r>
      <w:r>
        <w:rPr>
          <w:color w:val="000000" w:themeColor="text1"/>
          <w:sz w:val="22"/>
          <w:szCs w:val="22"/>
        </w:rPr>
        <w:t xml:space="preserve">. </w:t>
      </w:r>
    </w:p>
    <w:p w14:paraId="041D5042" w14:textId="77777777" w:rsidR="00B2233D" w:rsidRPr="00A57952" w:rsidRDefault="00B2233D" w:rsidP="00285D18">
      <w:pPr>
        <w:rPr>
          <w:color w:val="FF0000"/>
        </w:rPr>
      </w:pPr>
    </w:p>
    <w:p w14:paraId="1175BD12" w14:textId="7FB9725F" w:rsidR="00B2233D" w:rsidRPr="00024964" w:rsidRDefault="00B2233D" w:rsidP="00B2233D">
      <w:pPr>
        <w:jc w:val="center"/>
        <w:rPr>
          <w:color w:val="000000" w:themeColor="text1"/>
        </w:rPr>
      </w:pPr>
      <w:r w:rsidRPr="00024964">
        <w:rPr>
          <w:color w:val="000000" w:themeColor="text1"/>
        </w:rPr>
        <w:t>---------------</w:t>
      </w:r>
    </w:p>
    <w:p w14:paraId="404A5C08" w14:textId="77777777" w:rsidR="00B2233D" w:rsidRPr="00A57952" w:rsidRDefault="00B2233D" w:rsidP="00285D18">
      <w:pPr>
        <w:rPr>
          <w:color w:val="FF0000"/>
        </w:rPr>
      </w:pPr>
    </w:p>
    <w:p w14:paraId="1DCF832E" w14:textId="5585C2F8" w:rsidR="00434DF2" w:rsidRPr="00513538" w:rsidRDefault="00434DF2" w:rsidP="00285D18">
      <w:pPr>
        <w:rPr>
          <w:b/>
          <w:i/>
          <w:color w:val="000000" w:themeColor="text1"/>
        </w:rPr>
      </w:pPr>
      <w:r w:rsidRPr="00513538">
        <w:rPr>
          <w:b/>
          <w:i/>
          <w:color w:val="000000" w:themeColor="text1"/>
        </w:rPr>
        <w:t xml:space="preserve">Intégration </w:t>
      </w:r>
      <w:r w:rsidR="00513538" w:rsidRPr="00513538">
        <w:rPr>
          <w:b/>
          <w:i/>
          <w:color w:val="000000" w:themeColor="text1"/>
        </w:rPr>
        <w:t>de l’</w:t>
      </w:r>
      <w:r w:rsidRPr="00513538">
        <w:rPr>
          <w:b/>
          <w:i/>
          <w:color w:val="000000" w:themeColor="text1"/>
        </w:rPr>
        <w:t xml:space="preserve">ISO 26000 dans un système de management </w:t>
      </w:r>
    </w:p>
    <w:p w14:paraId="3CE832DC" w14:textId="77777777" w:rsidR="00434DF2" w:rsidRPr="00513538" w:rsidRDefault="00434DF2" w:rsidP="00285D18">
      <w:pPr>
        <w:rPr>
          <w:color w:val="000000" w:themeColor="text1"/>
        </w:rPr>
      </w:pPr>
    </w:p>
    <w:p w14:paraId="22512341" w14:textId="0BA5BBAA" w:rsidR="00DE127E" w:rsidRPr="00513538" w:rsidRDefault="000465A9" w:rsidP="00285D18">
      <w:pPr>
        <w:rPr>
          <w:color w:val="000000" w:themeColor="text1"/>
          <w:sz w:val="22"/>
          <w:szCs w:val="22"/>
        </w:rPr>
      </w:pPr>
      <w:r w:rsidRPr="00513538">
        <w:rPr>
          <w:color w:val="000000" w:themeColor="text1"/>
          <w:sz w:val="22"/>
          <w:szCs w:val="22"/>
        </w:rPr>
        <w:t xml:space="preserve">La Suède </w:t>
      </w:r>
      <w:r w:rsidR="00513538" w:rsidRPr="00513538">
        <w:rPr>
          <w:color w:val="000000" w:themeColor="text1"/>
          <w:sz w:val="22"/>
          <w:szCs w:val="22"/>
        </w:rPr>
        <w:t>a proposé</w:t>
      </w:r>
      <w:r w:rsidRPr="00513538">
        <w:rPr>
          <w:color w:val="000000" w:themeColor="text1"/>
          <w:sz w:val="22"/>
          <w:szCs w:val="22"/>
        </w:rPr>
        <w:t xml:space="preserve"> à l’ISO </w:t>
      </w:r>
      <w:r w:rsidR="00A12E2C" w:rsidRPr="00513538">
        <w:rPr>
          <w:color w:val="000000" w:themeColor="text1"/>
          <w:sz w:val="22"/>
          <w:szCs w:val="22"/>
        </w:rPr>
        <w:t xml:space="preserve">l’élaboration d’un </w:t>
      </w:r>
      <w:r w:rsidR="00207C4C" w:rsidRPr="00513538">
        <w:rPr>
          <w:color w:val="000000" w:themeColor="text1"/>
          <w:sz w:val="22"/>
          <w:szCs w:val="22"/>
        </w:rPr>
        <w:t xml:space="preserve">document </w:t>
      </w:r>
      <w:r w:rsidR="007B2740" w:rsidRPr="00513538">
        <w:rPr>
          <w:color w:val="000000" w:themeColor="text1"/>
          <w:sz w:val="22"/>
          <w:szCs w:val="22"/>
        </w:rPr>
        <w:t xml:space="preserve">relatif à l’intégration de l’ISO 26000 dans un système de management. </w:t>
      </w:r>
    </w:p>
    <w:p w14:paraId="25B16794" w14:textId="159D8C3C" w:rsidR="007B2740" w:rsidRPr="00513538" w:rsidRDefault="00513538" w:rsidP="00285D18">
      <w:pPr>
        <w:rPr>
          <w:color w:val="000000" w:themeColor="text1"/>
          <w:sz w:val="22"/>
          <w:szCs w:val="22"/>
        </w:rPr>
      </w:pPr>
      <w:r w:rsidRPr="00513538">
        <w:rPr>
          <w:color w:val="000000" w:themeColor="text1"/>
          <w:sz w:val="22"/>
          <w:szCs w:val="22"/>
        </w:rPr>
        <w:t xml:space="preserve">Ce document, sous forme dun IWA </w:t>
      </w:r>
      <w:r w:rsidR="00445B94" w:rsidRPr="00513538">
        <w:rPr>
          <w:color w:val="000000" w:themeColor="text1"/>
          <w:sz w:val="22"/>
          <w:szCs w:val="22"/>
        </w:rPr>
        <w:t xml:space="preserve">(IWA </w:t>
      </w:r>
      <w:r w:rsidR="002C6C97" w:rsidRPr="00513538">
        <w:rPr>
          <w:color w:val="000000" w:themeColor="text1"/>
          <w:sz w:val="22"/>
          <w:szCs w:val="22"/>
        </w:rPr>
        <w:t>-</w:t>
      </w:r>
      <w:r w:rsidR="00445B94" w:rsidRPr="00513538">
        <w:rPr>
          <w:color w:val="000000" w:themeColor="text1"/>
          <w:sz w:val="22"/>
          <w:szCs w:val="22"/>
        </w:rPr>
        <w:t xml:space="preserve"> </w:t>
      </w:r>
      <w:r w:rsidR="00911DB4" w:rsidRPr="00513538">
        <w:rPr>
          <w:color w:val="000000" w:themeColor="text1"/>
          <w:sz w:val="22"/>
          <w:szCs w:val="22"/>
        </w:rPr>
        <w:t>In</w:t>
      </w:r>
      <w:r w:rsidRPr="00513538">
        <w:rPr>
          <w:color w:val="000000" w:themeColor="text1"/>
          <w:sz w:val="22"/>
          <w:szCs w:val="22"/>
        </w:rPr>
        <w:t>ternational Workshop Agreement) est en cours d’élaboration</w:t>
      </w:r>
      <w:r w:rsidR="000A653B" w:rsidRPr="00513538">
        <w:rPr>
          <w:color w:val="000000" w:themeColor="text1"/>
          <w:sz w:val="22"/>
          <w:szCs w:val="22"/>
        </w:rPr>
        <w:t xml:space="preserve">. </w:t>
      </w:r>
    </w:p>
    <w:p w14:paraId="51884521" w14:textId="77777777" w:rsidR="000A653B" w:rsidRPr="00513538" w:rsidRDefault="000A653B" w:rsidP="00285D18">
      <w:pPr>
        <w:rPr>
          <w:color w:val="000000" w:themeColor="text1"/>
          <w:sz w:val="22"/>
          <w:szCs w:val="22"/>
        </w:rPr>
      </w:pPr>
    </w:p>
    <w:p w14:paraId="37ED10E6" w14:textId="77777777" w:rsidR="00FB05A8" w:rsidRDefault="00513538" w:rsidP="00285D18">
      <w:pPr>
        <w:rPr>
          <w:color w:val="000000" w:themeColor="text1"/>
        </w:rPr>
      </w:pPr>
      <w:r>
        <w:rPr>
          <w:color w:val="000000" w:themeColor="text1"/>
        </w:rPr>
        <w:t>Deux experts français assurent la liaison avec les travaux français en cours sur le sujet (voir ci-après).</w:t>
      </w:r>
      <w:r w:rsidR="00D92CD8">
        <w:rPr>
          <w:color w:val="000000" w:themeColor="text1"/>
        </w:rPr>
        <w:t xml:space="preserve"> </w:t>
      </w:r>
    </w:p>
    <w:p w14:paraId="603286A1" w14:textId="77777777" w:rsidR="00FB05A8" w:rsidRDefault="00FB05A8" w:rsidP="00285D18">
      <w:pPr>
        <w:rPr>
          <w:color w:val="000000" w:themeColor="text1"/>
        </w:rPr>
      </w:pPr>
    </w:p>
    <w:p w14:paraId="1DC231FB" w14:textId="1CAE279E" w:rsidR="00DE127E" w:rsidRDefault="00D92CD8" w:rsidP="00285D18">
      <w:pPr>
        <w:rPr>
          <w:color w:val="000000" w:themeColor="text1"/>
        </w:rPr>
      </w:pPr>
      <w:r>
        <w:rPr>
          <w:color w:val="000000" w:themeColor="text1"/>
        </w:rPr>
        <w:t xml:space="preserve">Il est à signaler que la structure utilisée pour ce document n’est pas la même que celle utilisée en France. </w:t>
      </w:r>
    </w:p>
    <w:p w14:paraId="3CC704E2" w14:textId="77777777" w:rsidR="00513538" w:rsidRPr="00513538" w:rsidRDefault="00513538" w:rsidP="00285D18">
      <w:pPr>
        <w:rPr>
          <w:color w:val="000000" w:themeColor="text1"/>
        </w:rPr>
      </w:pPr>
    </w:p>
    <w:p w14:paraId="727B4574" w14:textId="77777777" w:rsidR="00093BD4" w:rsidRPr="00513538" w:rsidRDefault="00093BD4" w:rsidP="00093BD4">
      <w:pPr>
        <w:jc w:val="center"/>
        <w:rPr>
          <w:color w:val="000000" w:themeColor="text1"/>
        </w:rPr>
      </w:pPr>
      <w:r w:rsidRPr="00513538">
        <w:rPr>
          <w:color w:val="000000" w:themeColor="text1"/>
        </w:rPr>
        <w:t>---------------</w:t>
      </w:r>
    </w:p>
    <w:p w14:paraId="713340D8" w14:textId="77777777" w:rsidR="0005065A" w:rsidRPr="00A57952" w:rsidRDefault="0005065A" w:rsidP="00963110">
      <w:pPr>
        <w:jc w:val="both"/>
        <w:rPr>
          <w:i/>
          <w:color w:val="FF0000"/>
          <w:sz w:val="22"/>
          <w:szCs w:val="22"/>
        </w:rPr>
      </w:pPr>
    </w:p>
    <w:p w14:paraId="0FDE4E36" w14:textId="36DAEB56" w:rsidR="0071484D" w:rsidRPr="00B048C1" w:rsidRDefault="0071484D" w:rsidP="00963110">
      <w:pPr>
        <w:jc w:val="both"/>
        <w:rPr>
          <w:b/>
          <w:i/>
          <w:color w:val="000000" w:themeColor="text1"/>
        </w:rPr>
      </w:pPr>
      <w:r w:rsidRPr="00B048C1">
        <w:rPr>
          <w:b/>
          <w:i/>
          <w:color w:val="000000" w:themeColor="text1"/>
        </w:rPr>
        <w:t>Norme ISO 20400 – Achats responsables</w:t>
      </w:r>
    </w:p>
    <w:p w14:paraId="3FC78907" w14:textId="77777777" w:rsidR="0005065A" w:rsidRPr="00B048C1" w:rsidRDefault="0005065A" w:rsidP="00963110">
      <w:pPr>
        <w:jc w:val="both"/>
        <w:rPr>
          <w:color w:val="000000" w:themeColor="text1"/>
          <w:sz w:val="22"/>
          <w:szCs w:val="22"/>
        </w:rPr>
      </w:pPr>
    </w:p>
    <w:p w14:paraId="64E0AA8E" w14:textId="5ECD4773" w:rsidR="0005065A" w:rsidRPr="00B048C1" w:rsidRDefault="00FD0C5F" w:rsidP="00963110">
      <w:pPr>
        <w:jc w:val="both"/>
        <w:rPr>
          <w:color w:val="000000" w:themeColor="text1"/>
          <w:sz w:val="22"/>
          <w:szCs w:val="22"/>
        </w:rPr>
      </w:pPr>
      <w:r w:rsidRPr="00B048C1">
        <w:rPr>
          <w:color w:val="000000" w:themeColor="text1"/>
          <w:sz w:val="22"/>
          <w:szCs w:val="22"/>
        </w:rPr>
        <w:t>L</w:t>
      </w:r>
      <w:r w:rsidR="00B048C1">
        <w:rPr>
          <w:color w:val="000000" w:themeColor="text1"/>
          <w:sz w:val="22"/>
          <w:szCs w:val="22"/>
        </w:rPr>
        <w:t>a publication de cette norme est actuellement en cours</w:t>
      </w:r>
      <w:r w:rsidR="00506C33" w:rsidRPr="00B048C1">
        <w:rPr>
          <w:color w:val="000000" w:themeColor="text1"/>
          <w:sz w:val="22"/>
          <w:szCs w:val="22"/>
        </w:rPr>
        <w:t>.</w:t>
      </w:r>
      <w:r w:rsidR="0005065A" w:rsidRPr="00B048C1">
        <w:rPr>
          <w:color w:val="000000" w:themeColor="text1"/>
          <w:sz w:val="22"/>
          <w:szCs w:val="22"/>
        </w:rPr>
        <w:t xml:space="preserve"> </w:t>
      </w:r>
    </w:p>
    <w:p w14:paraId="7A50C4E8" w14:textId="77777777" w:rsidR="00506C33" w:rsidRPr="00B048C1" w:rsidRDefault="00506C33" w:rsidP="00963110">
      <w:pPr>
        <w:jc w:val="both"/>
        <w:rPr>
          <w:color w:val="000000" w:themeColor="text1"/>
          <w:sz w:val="22"/>
          <w:szCs w:val="22"/>
        </w:rPr>
      </w:pPr>
    </w:p>
    <w:p w14:paraId="079EE142" w14:textId="12FBE960" w:rsidR="00506C33" w:rsidRPr="00B048C1" w:rsidRDefault="00506C33" w:rsidP="00963110">
      <w:pPr>
        <w:jc w:val="both"/>
        <w:rPr>
          <w:color w:val="000000" w:themeColor="text1"/>
          <w:sz w:val="22"/>
          <w:szCs w:val="22"/>
        </w:rPr>
      </w:pPr>
      <w:r w:rsidRPr="00B048C1">
        <w:rPr>
          <w:color w:val="000000" w:themeColor="text1"/>
          <w:sz w:val="22"/>
          <w:szCs w:val="22"/>
        </w:rPr>
        <w:t>Est dit responsable « </w:t>
      </w:r>
      <w:r w:rsidRPr="00B048C1">
        <w:rPr>
          <w:i/>
          <w:color w:val="000000" w:themeColor="text1"/>
          <w:sz w:val="22"/>
          <w:szCs w:val="22"/>
        </w:rPr>
        <w:t>un achat qui engendre des bénéfices sociaux, économiques et environnementaux à long terme </w:t>
      </w:r>
      <w:r w:rsidRPr="00B048C1">
        <w:rPr>
          <w:color w:val="000000" w:themeColor="text1"/>
          <w:sz w:val="22"/>
          <w:szCs w:val="22"/>
        </w:rPr>
        <w:t>».</w:t>
      </w:r>
    </w:p>
    <w:p w14:paraId="1913485C" w14:textId="67A327C6" w:rsidR="00C01D57" w:rsidRPr="00B048C1" w:rsidRDefault="00C01D57" w:rsidP="00963110">
      <w:pPr>
        <w:jc w:val="both"/>
        <w:rPr>
          <w:i/>
          <w:color w:val="000000" w:themeColor="text1"/>
          <w:sz w:val="22"/>
          <w:szCs w:val="22"/>
        </w:rPr>
      </w:pPr>
    </w:p>
    <w:p w14:paraId="1E122556" w14:textId="4A65814F" w:rsidR="00506C33" w:rsidRPr="00B048C1" w:rsidRDefault="00506C33" w:rsidP="00963110">
      <w:pPr>
        <w:jc w:val="both"/>
        <w:rPr>
          <w:color w:val="000000" w:themeColor="text1"/>
          <w:sz w:val="22"/>
          <w:szCs w:val="22"/>
        </w:rPr>
      </w:pPr>
      <w:r w:rsidRPr="00B048C1">
        <w:rPr>
          <w:color w:val="000000" w:themeColor="text1"/>
          <w:sz w:val="22"/>
          <w:szCs w:val="22"/>
        </w:rPr>
        <w:t>Rappelons que c</w:t>
      </w:r>
      <w:r w:rsidR="00C01D57" w:rsidRPr="00B048C1">
        <w:rPr>
          <w:color w:val="000000" w:themeColor="text1"/>
          <w:sz w:val="22"/>
          <w:szCs w:val="22"/>
        </w:rPr>
        <w:t>ette norme ISO</w:t>
      </w:r>
      <w:r w:rsidRPr="00B048C1">
        <w:rPr>
          <w:color w:val="000000" w:themeColor="text1"/>
          <w:sz w:val="22"/>
          <w:szCs w:val="22"/>
        </w:rPr>
        <w:t xml:space="preserve">, </w:t>
      </w:r>
      <w:r w:rsidR="0071484D" w:rsidRPr="00B048C1">
        <w:rPr>
          <w:color w:val="000000" w:themeColor="text1"/>
          <w:sz w:val="22"/>
          <w:szCs w:val="22"/>
        </w:rPr>
        <w:t xml:space="preserve">autoporteuse </w:t>
      </w:r>
      <w:r w:rsidR="009452E9">
        <w:rPr>
          <w:color w:val="000000" w:themeColor="text1"/>
          <w:sz w:val="22"/>
          <w:szCs w:val="22"/>
        </w:rPr>
        <w:t>ne fixe que des recommandations. Il ne s’agit donc pas d’</w:t>
      </w:r>
      <w:r w:rsidRPr="00B048C1">
        <w:rPr>
          <w:color w:val="000000" w:themeColor="text1"/>
          <w:sz w:val="22"/>
          <w:szCs w:val="22"/>
        </w:rPr>
        <w:t>une norme d’exigences,</w:t>
      </w:r>
      <w:r w:rsidR="00C01D57" w:rsidRPr="00B048C1">
        <w:rPr>
          <w:color w:val="000000" w:themeColor="text1"/>
          <w:sz w:val="22"/>
          <w:szCs w:val="22"/>
        </w:rPr>
        <w:t xml:space="preserve"> </w:t>
      </w:r>
      <w:r w:rsidR="0071484D" w:rsidRPr="00B048C1">
        <w:rPr>
          <w:color w:val="000000" w:themeColor="text1"/>
          <w:sz w:val="22"/>
          <w:szCs w:val="22"/>
        </w:rPr>
        <w:t xml:space="preserve">de ce fait elle </w:t>
      </w:r>
      <w:r w:rsidR="00C01D57" w:rsidRPr="00B048C1">
        <w:rPr>
          <w:color w:val="000000" w:themeColor="text1"/>
          <w:sz w:val="22"/>
          <w:szCs w:val="22"/>
        </w:rPr>
        <w:t>ne peut pas faire l’objet d’une certification.</w:t>
      </w:r>
    </w:p>
    <w:p w14:paraId="2A794F94" w14:textId="77777777" w:rsidR="0071484D" w:rsidRPr="00B048C1" w:rsidRDefault="0071484D" w:rsidP="00963110">
      <w:pPr>
        <w:jc w:val="both"/>
        <w:rPr>
          <w:color w:val="000000" w:themeColor="text1"/>
          <w:sz w:val="22"/>
          <w:szCs w:val="22"/>
        </w:rPr>
      </w:pPr>
    </w:p>
    <w:p w14:paraId="0AEEAB53" w14:textId="52C05797" w:rsidR="0071484D" w:rsidRPr="00B048C1" w:rsidRDefault="0071484D" w:rsidP="00FB05A8">
      <w:pPr>
        <w:rPr>
          <w:color w:val="000000" w:themeColor="text1"/>
          <w:sz w:val="22"/>
          <w:szCs w:val="22"/>
        </w:rPr>
      </w:pPr>
      <w:r w:rsidRPr="00B048C1">
        <w:rPr>
          <w:color w:val="000000" w:themeColor="text1"/>
          <w:sz w:val="22"/>
          <w:szCs w:val="22"/>
        </w:rPr>
        <w:t xml:space="preserve">Elle s’appuie sur 4 axes majeurs : </w:t>
      </w:r>
      <w:r w:rsidR="00FB05A8">
        <w:rPr>
          <w:color w:val="000000" w:themeColor="text1"/>
          <w:sz w:val="22"/>
          <w:szCs w:val="22"/>
        </w:rPr>
        <w:br/>
        <w:t xml:space="preserve">- </w:t>
      </w:r>
      <w:r w:rsidRPr="00B048C1">
        <w:rPr>
          <w:color w:val="000000" w:themeColor="text1"/>
          <w:sz w:val="22"/>
          <w:szCs w:val="22"/>
        </w:rPr>
        <w:t xml:space="preserve">les fondamentaux, </w:t>
      </w:r>
      <w:r w:rsidR="00FB05A8">
        <w:rPr>
          <w:color w:val="000000" w:themeColor="text1"/>
          <w:sz w:val="22"/>
          <w:szCs w:val="22"/>
        </w:rPr>
        <w:br/>
        <w:t xml:space="preserve">- </w:t>
      </w:r>
      <w:r w:rsidRPr="00B048C1">
        <w:rPr>
          <w:color w:val="000000" w:themeColor="text1"/>
          <w:sz w:val="22"/>
          <w:szCs w:val="22"/>
        </w:rPr>
        <w:t xml:space="preserve">la politique et la stratégie, </w:t>
      </w:r>
      <w:r w:rsidR="00FB05A8">
        <w:rPr>
          <w:color w:val="000000" w:themeColor="text1"/>
          <w:sz w:val="22"/>
          <w:szCs w:val="22"/>
        </w:rPr>
        <w:br/>
        <w:t xml:space="preserve">- </w:t>
      </w:r>
      <w:r w:rsidRPr="00B048C1">
        <w:rPr>
          <w:color w:val="000000" w:themeColor="text1"/>
          <w:sz w:val="22"/>
          <w:szCs w:val="22"/>
        </w:rPr>
        <w:t xml:space="preserve">le management des achats, </w:t>
      </w:r>
      <w:r w:rsidR="00FB05A8">
        <w:rPr>
          <w:color w:val="000000" w:themeColor="text1"/>
          <w:sz w:val="22"/>
          <w:szCs w:val="22"/>
        </w:rPr>
        <w:br/>
        <w:t xml:space="preserve">- </w:t>
      </w:r>
      <w:r w:rsidRPr="00B048C1">
        <w:rPr>
          <w:color w:val="000000" w:themeColor="text1"/>
          <w:sz w:val="22"/>
          <w:szCs w:val="22"/>
        </w:rPr>
        <w:t>le processus achats.</w:t>
      </w:r>
    </w:p>
    <w:p w14:paraId="47992AC0" w14:textId="77777777" w:rsidR="00527584" w:rsidRPr="00A57952" w:rsidRDefault="00527584" w:rsidP="00963110">
      <w:pPr>
        <w:jc w:val="both"/>
        <w:rPr>
          <w:color w:val="FF0000"/>
          <w:sz w:val="22"/>
          <w:szCs w:val="22"/>
        </w:rPr>
      </w:pPr>
    </w:p>
    <w:p w14:paraId="5A09DEBE" w14:textId="47B2F471" w:rsidR="00527584" w:rsidRPr="00D92CD8" w:rsidRDefault="00527584" w:rsidP="00527584">
      <w:pPr>
        <w:jc w:val="center"/>
        <w:rPr>
          <w:color w:val="000000" w:themeColor="text1"/>
        </w:rPr>
      </w:pPr>
      <w:r w:rsidRPr="00D92CD8">
        <w:rPr>
          <w:color w:val="000000" w:themeColor="text1"/>
        </w:rPr>
        <w:t>---------------</w:t>
      </w:r>
    </w:p>
    <w:p w14:paraId="7548C887" w14:textId="77777777" w:rsidR="00D92CD8" w:rsidRPr="00A57952" w:rsidRDefault="00D92CD8" w:rsidP="00527584">
      <w:pPr>
        <w:jc w:val="center"/>
        <w:rPr>
          <w:color w:val="FF0000"/>
          <w:sz w:val="22"/>
          <w:szCs w:val="22"/>
        </w:rPr>
      </w:pPr>
    </w:p>
    <w:p w14:paraId="0FF77B99" w14:textId="16DC1781" w:rsidR="0071484D" w:rsidRDefault="008113D6" w:rsidP="00963110">
      <w:pPr>
        <w:jc w:val="both"/>
        <w:rPr>
          <w:b/>
          <w:i/>
          <w:color w:val="000000" w:themeColor="text1"/>
          <w:sz w:val="22"/>
          <w:szCs w:val="22"/>
        </w:rPr>
      </w:pPr>
      <w:r w:rsidRPr="008113D6">
        <w:rPr>
          <w:b/>
          <w:i/>
          <w:color w:val="000000" w:themeColor="text1"/>
          <w:sz w:val="22"/>
          <w:szCs w:val="22"/>
        </w:rPr>
        <w:t>Création d</w:t>
      </w:r>
      <w:r>
        <w:rPr>
          <w:b/>
          <w:i/>
          <w:color w:val="000000" w:themeColor="text1"/>
          <w:sz w:val="22"/>
          <w:szCs w:val="22"/>
        </w:rPr>
        <w:t xml:space="preserve">e l’ISO PC 308 </w:t>
      </w:r>
    </w:p>
    <w:p w14:paraId="78274DAE" w14:textId="77777777" w:rsidR="008113D6" w:rsidRDefault="008113D6" w:rsidP="00963110">
      <w:pPr>
        <w:jc w:val="both"/>
        <w:rPr>
          <w:b/>
          <w:i/>
          <w:color w:val="000000" w:themeColor="text1"/>
          <w:sz w:val="22"/>
          <w:szCs w:val="22"/>
        </w:rPr>
      </w:pPr>
    </w:p>
    <w:p w14:paraId="147E7D1E" w14:textId="7FA2BCBE" w:rsidR="008113D6" w:rsidRDefault="008113D6" w:rsidP="00963110">
      <w:pPr>
        <w:jc w:val="both"/>
        <w:rPr>
          <w:color w:val="000000" w:themeColor="text1"/>
          <w:sz w:val="22"/>
          <w:szCs w:val="22"/>
        </w:rPr>
      </w:pPr>
      <w:r>
        <w:rPr>
          <w:color w:val="000000" w:themeColor="text1"/>
          <w:sz w:val="22"/>
          <w:szCs w:val="22"/>
        </w:rPr>
        <w:t>La création par l’ISO du PC</w:t>
      </w:r>
      <w:r w:rsidR="009F0FAF">
        <w:rPr>
          <w:color w:val="000000" w:themeColor="text1"/>
          <w:sz w:val="22"/>
          <w:szCs w:val="22"/>
        </w:rPr>
        <w:t xml:space="preserve"> 308</w:t>
      </w:r>
      <w:r>
        <w:rPr>
          <w:color w:val="000000" w:themeColor="text1"/>
          <w:sz w:val="22"/>
          <w:szCs w:val="22"/>
        </w:rPr>
        <w:t xml:space="preserve"> (Programming Commmittee) dédié à la gestion de la chaîne de contrôle / responsabilité a induit en France </w:t>
      </w:r>
      <w:r w:rsidR="009F0FAF">
        <w:rPr>
          <w:color w:val="000000" w:themeColor="text1"/>
          <w:sz w:val="22"/>
          <w:szCs w:val="22"/>
        </w:rPr>
        <w:t xml:space="preserve">la réactivation de la commission de normalisation sur la supply chain. </w:t>
      </w:r>
    </w:p>
    <w:p w14:paraId="331E8021" w14:textId="77777777" w:rsidR="009452E9" w:rsidRDefault="009452E9" w:rsidP="00963110">
      <w:pPr>
        <w:jc w:val="both"/>
        <w:rPr>
          <w:color w:val="000000" w:themeColor="text1"/>
          <w:sz w:val="22"/>
          <w:szCs w:val="22"/>
        </w:rPr>
      </w:pPr>
    </w:p>
    <w:p w14:paraId="06BBBB01" w14:textId="77777777" w:rsidR="009452E9" w:rsidRPr="00A157AC" w:rsidRDefault="009452E9" w:rsidP="009452E9">
      <w:pPr>
        <w:jc w:val="center"/>
        <w:rPr>
          <w:color w:val="000000" w:themeColor="text1"/>
          <w:sz w:val="22"/>
          <w:szCs w:val="22"/>
        </w:rPr>
      </w:pPr>
      <w:r w:rsidRPr="00A157AC">
        <w:rPr>
          <w:color w:val="000000" w:themeColor="text1"/>
        </w:rPr>
        <w:t>---------------</w:t>
      </w:r>
    </w:p>
    <w:p w14:paraId="34262FF4" w14:textId="77777777" w:rsidR="009452E9" w:rsidRDefault="009452E9" w:rsidP="00963110">
      <w:pPr>
        <w:jc w:val="both"/>
        <w:rPr>
          <w:color w:val="000000" w:themeColor="text1"/>
          <w:sz w:val="22"/>
          <w:szCs w:val="22"/>
        </w:rPr>
      </w:pPr>
    </w:p>
    <w:p w14:paraId="6B01CB4F" w14:textId="25BC93E2" w:rsidR="009452E9" w:rsidRPr="009452E9" w:rsidRDefault="009452E9" w:rsidP="00963110">
      <w:pPr>
        <w:jc w:val="both"/>
        <w:rPr>
          <w:b/>
          <w:i/>
          <w:color w:val="000000" w:themeColor="text1"/>
          <w:sz w:val="22"/>
          <w:szCs w:val="22"/>
        </w:rPr>
      </w:pPr>
      <w:r w:rsidRPr="009452E9">
        <w:rPr>
          <w:b/>
          <w:i/>
          <w:color w:val="000000" w:themeColor="text1"/>
          <w:sz w:val="22"/>
          <w:szCs w:val="22"/>
        </w:rPr>
        <w:t xml:space="preserve">Examen systématique de la norme ISO 20121 :2012 </w:t>
      </w:r>
    </w:p>
    <w:p w14:paraId="7EBBC57C" w14:textId="77777777" w:rsidR="009452E9" w:rsidRDefault="009452E9" w:rsidP="00963110">
      <w:pPr>
        <w:jc w:val="both"/>
        <w:rPr>
          <w:color w:val="000000" w:themeColor="text1"/>
          <w:sz w:val="22"/>
          <w:szCs w:val="22"/>
        </w:rPr>
      </w:pPr>
    </w:p>
    <w:p w14:paraId="04942DD2" w14:textId="3A8E2E92" w:rsidR="009452E9" w:rsidRPr="008113D6" w:rsidRDefault="009452E9" w:rsidP="00963110">
      <w:pPr>
        <w:jc w:val="both"/>
        <w:rPr>
          <w:color w:val="000000" w:themeColor="text1"/>
          <w:sz w:val="22"/>
          <w:szCs w:val="22"/>
        </w:rPr>
      </w:pPr>
      <w:r>
        <w:rPr>
          <w:color w:val="000000" w:themeColor="text1"/>
          <w:sz w:val="22"/>
          <w:szCs w:val="22"/>
        </w:rPr>
        <w:t xml:space="preserve">L’examen systématique de la norme ISO 20121 – Systèmes de management responsable appliqués à l’activité évènementielle – Exigences et recommandations de mise en œuvre vient de </w:t>
      </w:r>
    </w:p>
    <w:p w14:paraId="7D4DF011" w14:textId="77777777" w:rsidR="00527584" w:rsidRPr="00A57952" w:rsidRDefault="00527584" w:rsidP="00527584">
      <w:pPr>
        <w:rPr>
          <w:color w:val="FF0000"/>
        </w:rPr>
      </w:pPr>
    </w:p>
    <w:p w14:paraId="47D6A0A9" w14:textId="0A6A1253" w:rsidR="0071484D" w:rsidRPr="00A157AC" w:rsidRDefault="00527584" w:rsidP="00527584">
      <w:pPr>
        <w:jc w:val="center"/>
        <w:rPr>
          <w:color w:val="000000" w:themeColor="text1"/>
          <w:sz w:val="22"/>
          <w:szCs w:val="22"/>
        </w:rPr>
      </w:pPr>
      <w:r w:rsidRPr="00A157AC">
        <w:rPr>
          <w:color w:val="000000" w:themeColor="text1"/>
        </w:rPr>
        <w:t>---------------</w:t>
      </w:r>
    </w:p>
    <w:p w14:paraId="4D5AB568" w14:textId="77777777" w:rsidR="00C01D57" w:rsidRPr="00A157AC" w:rsidRDefault="00C01D57" w:rsidP="00963110">
      <w:pPr>
        <w:jc w:val="both"/>
        <w:rPr>
          <w:color w:val="000000" w:themeColor="text1"/>
        </w:rPr>
      </w:pPr>
    </w:p>
    <w:p w14:paraId="2BEE380A" w14:textId="26D3E3EB" w:rsidR="00C01D57" w:rsidRPr="00A157AC" w:rsidRDefault="00C01D57" w:rsidP="00963110">
      <w:pPr>
        <w:pStyle w:val="Pardeliste"/>
        <w:numPr>
          <w:ilvl w:val="0"/>
          <w:numId w:val="5"/>
        </w:numPr>
        <w:jc w:val="both"/>
        <w:rPr>
          <w:b/>
          <w:i/>
          <w:color w:val="000000" w:themeColor="text1"/>
        </w:rPr>
      </w:pPr>
      <w:r w:rsidRPr="00A157AC">
        <w:rPr>
          <w:b/>
          <w:i/>
          <w:color w:val="000000" w:themeColor="text1"/>
        </w:rPr>
        <w:t>Au niveau français</w:t>
      </w:r>
    </w:p>
    <w:p w14:paraId="36CED5E7" w14:textId="77777777" w:rsidR="00527584" w:rsidRPr="00A157AC" w:rsidRDefault="00527584" w:rsidP="00527584">
      <w:pPr>
        <w:jc w:val="both"/>
        <w:rPr>
          <w:b/>
          <w:i/>
          <w:color w:val="000000" w:themeColor="text1"/>
        </w:rPr>
      </w:pPr>
    </w:p>
    <w:p w14:paraId="41406A87" w14:textId="5F439C33" w:rsidR="00527584" w:rsidRPr="00A157AC" w:rsidRDefault="00527584" w:rsidP="00527584">
      <w:pPr>
        <w:jc w:val="center"/>
        <w:rPr>
          <w:b/>
          <w:i/>
          <w:color w:val="000000" w:themeColor="text1"/>
        </w:rPr>
      </w:pPr>
      <w:r w:rsidRPr="00A157AC">
        <w:rPr>
          <w:color w:val="000000" w:themeColor="text1"/>
        </w:rPr>
        <w:t>---------------</w:t>
      </w:r>
    </w:p>
    <w:p w14:paraId="29DB7D7F" w14:textId="77777777" w:rsidR="00C01D57" w:rsidRDefault="00C01D57" w:rsidP="00963110">
      <w:pPr>
        <w:jc w:val="both"/>
        <w:rPr>
          <w:color w:val="FF0000"/>
        </w:rPr>
      </w:pPr>
    </w:p>
    <w:p w14:paraId="363AF3FB" w14:textId="60C55D76" w:rsidR="00A157AC" w:rsidRDefault="00A157AC" w:rsidP="00963110">
      <w:pPr>
        <w:jc w:val="both"/>
        <w:rPr>
          <w:b/>
          <w:i/>
          <w:color w:val="000000" w:themeColor="text1"/>
        </w:rPr>
      </w:pPr>
      <w:r w:rsidRPr="00A157AC">
        <w:rPr>
          <w:b/>
          <w:i/>
          <w:color w:val="000000" w:themeColor="text1"/>
        </w:rPr>
        <w:t xml:space="preserve">Economie circulaire </w:t>
      </w:r>
    </w:p>
    <w:p w14:paraId="0E9F6B43" w14:textId="77777777" w:rsidR="00A157AC" w:rsidRDefault="00A157AC" w:rsidP="00963110">
      <w:pPr>
        <w:jc w:val="both"/>
        <w:rPr>
          <w:b/>
          <w:i/>
          <w:color w:val="000000" w:themeColor="text1"/>
        </w:rPr>
      </w:pPr>
    </w:p>
    <w:p w14:paraId="14E29254" w14:textId="4BE6C328" w:rsidR="00A157AC" w:rsidRDefault="00A157AC" w:rsidP="00963110">
      <w:pPr>
        <w:jc w:val="both"/>
        <w:rPr>
          <w:color w:val="000000" w:themeColor="text1"/>
        </w:rPr>
      </w:pPr>
      <w:r>
        <w:rPr>
          <w:color w:val="000000" w:themeColor="text1"/>
        </w:rPr>
        <w:t xml:space="preserve">Des travaux sont en cours à l’Afnor pour élaborer un guide pour la prise en compte de l’économie circulaire dans les normes. </w:t>
      </w:r>
    </w:p>
    <w:p w14:paraId="7B32189A" w14:textId="77777777" w:rsidR="00A157AC" w:rsidRPr="00A157AC" w:rsidRDefault="00A157AC" w:rsidP="00963110">
      <w:pPr>
        <w:jc w:val="both"/>
        <w:rPr>
          <w:color w:val="000000" w:themeColor="text1"/>
        </w:rPr>
      </w:pPr>
    </w:p>
    <w:p w14:paraId="301E21B4" w14:textId="77777777" w:rsidR="00A157AC" w:rsidRPr="00A157AC" w:rsidRDefault="00A157AC" w:rsidP="00A157AC">
      <w:pPr>
        <w:jc w:val="center"/>
        <w:rPr>
          <w:color w:val="000000" w:themeColor="text1"/>
        </w:rPr>
      </w:pPr>
      <w:r w:rsidRPr="00A157AC">
        <w:rPr>
          <w:color w:val="000000" w:themeColor="text1"/>
        </w:rPr>
        <w:t>---------------</w:t>
      </w:r>
    </w:p>
    <w:p w14:paraId="0EAEBE40" w14:textId="77777777" w:rsidR="00A157AC" w:rsidRPr="00A57952" w:rsidRDefault="00A157AC" w:rsidP="00963110">
      <w:pPr>
        <w:jc w:val="both"/>
        <w:rPr>
          <w:color w:val="FF0000"/>
        </w:rPr>
      </w:pPr>
    </w:p>
    <w:p w14:paraId="224DA709" w14:textId="452C95DB" w:rsidR="00527584" w:rsidRPr="00024964" w:rsidRDefault="00527584" w:rsidP="00963110">
      <w:pPr>
        <w:jc w:val="both"/>
        <w:rPr>
          <w:b/>
          <w:i/>
          <w:color w:val="000000" w:themeColor="text1"/>
        </w:rPr>
      </w:pPr>
      <w:r w:rsidRPr="00024964">
        <w:rPr>
          <w:b/>
          <w:i/>
          <w:color w:val="000000" w:themeColor="text1"/>
        </w:rPr>
        <w:t>Intégration</w:t>
      </w:r>
      <w:r w:rsidR="002C6C97" w:rsidRPr="00024964">
        <w:rPr>
          <w:b/>
          <w:i/>
          <w:color w:val="000000" w:themeColor="text1"/>
        </w:rPr>
        <w:t xml:space="preserve"> de l’</w:t>
      </w:r>
      <w:r w:rsidRPr="00024964">
        <w:rPr>
          <w:b/>
          <w:i/>
          <w:color w:val="000000" w:themeColor="text1"/>
        </w:rPr>
        <w:t xml:space="preserve">ISO 26000 dans un système de management </w:t>
      </w:r>
    </w:p>
    <w:p w14:paraId="180DD68B" w14:textId="77777777" w:rsidR="00527584" w:rsidRPr="00024964" w:rsidRDefault="00527584" w:rsidP="00963110">
      <w:pPr>
        <w:jc w:val="both"/>
        <w:rPr>
          <w:color w:val="000000" w:themeColor="text1"/>
        </w:rPr>
      </w:pPr>
    </w:p>
    <w:p w14:paraId="73122875" w14:textId="407E7863" w:rsidR="006D7386" w:rsidRPr="00024964" w:rsidRDefault="00024964" w:rsidP="00963110">
      <w:pPr>
        <w:jc w:val="both"/>
        <w:rPr>
          <w:color w:val="000000" w:themeColor="text1"/>
          <w:sz w:val="22"/>
          <w:szCs w:val="22"/>
        </w:rPr>
      </w:pPr>
      <w:r w:rsidRPr="00024964">
        <w:rPr>
          <w:color w:val="000000" w:themeColor="text1"/>
          <w:sz w:val="22"/>
          <w:szCs w:val="22"/>
        </w:rPr>
        <w:t xml:space="preserve">Le </w:t>
      </w:r>
      <w:r w:rsidR="006D7386" w:rsidRPr="00024964">
        <w:rPr>
          <w:color w:val="000000" w:themeColor="text1"/>
          <w:sz w:val="22"/>
          <w:szCs w:val="22"/>
        </w:rPr>
        <w:t xml:space="preserve">guide </w:t>
      </w:r>
      <w:r w:rsidRPr="00024964">
        <w:rPr>
          <w:color w:val="000000" w:themeColor="text1"/>
          <w:sz w:val="22"/>
          <w:szCs w:val="22"/>
        </w:rPr>
        <w:t xml:space="preserve">(XP X30-036) </w:t>
      </w:r>
      <w:r w:rsidR="006D7386" w:rsidRPr="00024964">
        <w:rPr>
          <w:color w:val="000000" w:themeColor="text1"/>
          <w:sz w:val="22"/>
          <w:szCs w:val="22"/>
        </w:rPr>
        <w:t xml:space="preserve">sur l’intégration de la </w:t>
      </w:r>
      <w:r w:rsidR="00527584" w:rsidRPr="00024964">
        <w:rPr>
          <w:color w:val="000000" w:themeColor="text1"/>
          <w:sz w:val="22"/>
          <w:szCs w:val="22"/>
        </w:rPr>
        <w:t xml:space="preserve">démarche de </w:t>
      </w:r>
      <w:r w:rsidR="006D7386" w:rsidRPr="00024964">
        <w:rPr>
          <w:color w:val="000000" w:themeColor="text1"/>
          <w:sz w:val="22"/>
          <w:szCs w:val="22"/>
        </w:rPr>
        <w:t xml:space="preserve">responsabilité sociétale basée sur l’ISO 26000 dans un système de management </w:t>
      </w:r>
      <w:r w:rsidRPr="00024964">
        <w:rPr>
          <w:color w:val="000000" w:themeColor="text1"/>
          <w:sz w:val="22"/>
          <w:szCs w:val="22"/>
        </w:rPr>
        <w:t>est en cours d’élaboration.</w:t>
      </w:r>
      <w:r w:rsidR="006D7386" w:rsidRPr="00024964">
        <w:rPr>
          <w:color w:val="000000" w:themeColor="text1"/>
          <w:sz w:val="22"/>
          <w:szCs w:val="22"/>
        </w:rPr>
        <w:t xml:space="preserve"> </w:t>
      </w:r>
    </w:p>
    <w:p w14:paraId="15474C5E" w14:textId="77777777" w:rsidR="006D7386" w:rsidRPr="00024964" w:rsidRDefault="006D7386" w:rsidP="00963110">
      <w:pPr>
        <w:jc w:val="both"/>
        <w:rPr>
          <w:color w:val="000000" w:themeColor="text1"/>
          <w:sz w:val="22"/>
          <w:szCs w:val="22"/>
        </w:rPr>
      </w:pPr>
    </w:p>
    <w:p w14:paraId="40EB60D6" w14:textId="325BB1C2" w:rsidR="00093BD4" w:rsidRDefault="00024964" w:rsidP="006D7386">
      <w:pPr>
        <w:rPr>
          <w:color w:val="000000" w:themeColor="text1"/>
          <w:sz w:val="22"/>
          <w:szCs w:val="22"/>
        </w:rPr>
      </w:pPr>
      <w:r>
        <w:rPr>
          <w:color w:val="000000" w:themeColor="text1"/>
          <w:sz w:val="22"/>
          <w:szCs w:val="22"/>
        </w:rPr>
        <w:t>Il a adopté la structure HLS (High level structure) afin de faciliter l’intégration des lignes directrices de l’ISO 26000 dans un système de management existant.</w:t>
      </w:r>
    </w:p>
    <w:p w14:paraId="02BF39EB" w14:textId="77777777" w:rsidR="00024964" w:rsidRPr="00A57952" w:rsidRDefault="00024964" w:rsidP="006D7386">
      <w:pPr>
        <w:rPr>
          <w:color w:val="FF0000"/>
        </w:rPr>
      </w:pPr>
    </w:p>
    <w:p w14:paraId="36BBF477" w14:textId="03FC4531" w:rsidR="006D7386" w:rsidRDefault="00093BD4" w:rsidP="00093BD4">
      <w:pPr>
        <w:jc w:val="center"/>
        <w:rPr>
          <w:color w:val="000000" w:themeColor="text1"/>
        </w:rPr>
      </w:pPr>
      <w:r w:rsidRPr="00024964">
        <w:rPr>
          <w:color w:val="000000" w:themeColor="text1"/>
        </w:rPr>
        <w:t>---------------</w:t>
      </w:r>
      <w:r w:rsidR="006D7386" w:rsidRPr="00024964">
        <w:rPr>
          <w:color w:val="000000" w:themeColor="text1"/>
        </w:rPr>
        <w:t xml:space="preserve">  </w:t>
      </w:r>
    </w:p>
    <w:p w14:paraId="3C6CAAF1" w14:textId="77777777" w:rsidR="00D92CD8" w:rsidRDefault="00D92CD8" w:rsidP="00D92CD8">
      <w:pPr>
        <w:rPr>
          <w:color w:val="000000" w:themeColor="text1"/>
        </w:rPr>
      </w:pPr>
    </w:p>
    <w:p w14:paraId="2FE6A8C2" w14:textId="436AC118" w:rsidR="00D92CD8" w:rsidRPr="00D92CD8" w:rsidRDefault="00D92CD8" w:rsidP="00D92CD8">
      <w:pPr>
        <w:rPr>
          <w:b/>
          <w:i/>
          <w:color w:val="000000" w:themeColor="text1"/>
        </w:rPr>
      </w:pPr>
      <w:r w:rsidRPr="00D92CD8">
        <w:rPr>
          <w:b/>
          <w:i/>
          <w:color w:val="000000" w:themeColor="text1"/>
        </w:rPr>
        <w:lastRenderedPageBreak/>
        <w:t xml:space="preserve">Les travaux de la plateforme nationale d’actions globales pour la RSE </w:t>
      </w:r>
    </w:p>
    <w:p w14:paraId="0F4E2193" w14:textId="77777777" w:rsidR="00D92CD8" w:rsidRDefault="00D92CD8" w:rsidP="00D92CD8">
      <w:pPr>
        <w:rPr>
          <w:color w:val="000000" w:themeColor="text1"/>
        </w:rPr>
      </w:pPr>
    </w:p>
    <w:p w14:paraId="4E576EC6" w14:textId="25A28E54" w:rsidR="00D92CD8" w:rsidRDefault="00D92CD8" w:rsidP="00D92CD8">
      <w:pPr>
        <w:rPr>
          <w:color w:val="000000" w:themeColor="text1"/>
        </w:rPr>
      </w:pPr>
      <w:r>
        <w:rPr>
          <w:color w:val="000000" w:themeColor="text1"/>
        </w:rPr>
        <w:t xml:space="preserve">Un nouveau groupe de travail sur la RSE et les territoires vient d’être mis en place au sein de la plateforme. </w:t>
      </w:r>
    </w:p>
    <w:p w14:paraId="62308FA4" w14:textId="77777777" w:rsidR="004544CE" w:rsidRDefault="004544CE" w:rsidP="00D92CD8">
      <w:pPr>
        <w:rPr>
          <w:color w:val="000000" w:themeColor="text1"/>
        </w:rPr>
      </w:pPr>
    </w:p>
    <w:p w14:paraId="7C038175" w14:textId="6D4F1EBC" w:rsidR="004544CE" w:rsidRPr="004544CE" w:rsidRDefault="004544CE" w:rsidP="00D92CD8">
      <w:pPr>
        <w:rPr>
          <w:color w:val="000000" w:themeColor="text1"/>
          <w:u w:val="single"/>
        </w:rPr>
      </w:pPr>
      <w:r>
        <w:rPr>
          <w:color w:val="000000" w:themeColor="text1"/>
        </w:rPr>
        <w:t xml:space="preserve">Rappelons qu’il est possible de s’informer </w:t>
      </w:r>
      <w:r w:rsidR="009452E9">
        <w:rPr>
          <w:color w:val="000000" w:themeColor="text1"/>
        </w:rPr>
        <w:t>sur</w:t>
      </w:r>
      <w:r>
        <w:rPr>
          <w:color w:val="000000" w:themeColor="text1"/>
        </w:rPr>
        <w:t xml:space="preserve"> l’avancement des travaux de la plateforme sur le site </w:t>
      </w:r>
      <w:hyperlink r:id="rId10" w:history="1">
        <w:r w:rsidRPr="004544CE">
          <w:rPr>
            <w:rStyle w:val="Lienhypertexte"/>
            <w:color w:val="000000" w:themeColor="text1"/>
          </w:rPr>
          <w:t>www.strategie.gouv.fr</w:t>
        </w:r>
      </w:hyperlink>
    </w:p>
    <w:p w14:paraId="717E9480" w14:textId="77777777" w:rsidR="00D92CD8" w:rsidRDefault="00D92CD8" w:rsidP="00D92CD8">
      <w:pPr>
        <w:rPr>
          <w:color w:val="000000" w:themeColor="text1"/>
        </w:rPr>
      </w:pPr>
    </w:p>
    <w:p w14:paraId="370823F0" w14:textId="77777777" w:rsidR="00D92CD8" w:rsidRPr="00D92CD8" w:rsidRDefault="00D92CD8" w:rsidP="00D92CD8">
      <w:pPr>
        <w:jc w:val="center"/>
        <w:rPr>
          <w:color w:val="000000" w:themeColor="text1"/>
        </w:rPr>
      </w:pPr>
      <w:r w:rsidRPr="00D92CD8">
        <w:rPr>
          <w:color w:val="000000" w:themeColor="text1"/>
        </w:rPr>
        <w:t>---------------</w:t>
      </w:r>
    </w:p>
    <w:p w14:paraId="1305F11A" w14:textId="77777777" w:rsidR="00093BD4" w:rsidRPr="00A57952" w:rsidRDefault="00093BD4" w:rsidP="00963110">
      <w:pPr>
        <w:jc w:val="both"/>
        <w:rPr>
          <w:color w:val="FF0000"/>
        </w:rPr>
      </w:pPr>
    </w:p>
    <w:p w14:paraId="6503C46F" w14:textId="10D7C789" w:rsidR="0001425B" w:rsidRPr="00D92CD8" w:rsidRDefault="00D92CD8" w:rsidP="00963110">
      <w:pPr>
        <w:jc w:val="both"/>
        <w:rPr>
          <w:b/>
          <w:i/>
          <w:color w:val="000000" w:themeColor="text1"/>
        </w:rPr>
      </w:pPr>
      <w:r>
        <w:rPr>
          <w:b/>
          <w:i/>
          <w:color w:val="000000" w:themeColor="text1"/>
        </w:rPr>
        <w:t>N</w:t>
      </w:r>
      <w:r w:rsidR="0001425B" w:rsidRPr="00D92CD8">
        <w:rPr>
          <w:b/>
          <w:i/>
          <w:color w:val="000000" w:themeColor="text1"/>
        </w:rPr>
        <w:t xml:space="preserve">orme </w:t>
      </w:r>
      <w:r>
        <w:rPr>
          <w:b/>
          <w:i/>
          <w:color w:val="000000" w:themeColor="text1"/>
        </w:rPr>
        <w:t>XP</w:t>
      </w:r>
      <w:r w:rsidR="0001425B" w:rsidRPr="00D92CD8">
        <w:rPr>
          <w:b/>
          <w:i/>
          <w:color w:val="000000" w:themeColor="text1"/>
        </w:rPr>
        <w:t xml:space="preserve"> X</w:t>
      </w:r>
      <w:r w:rsidR="006B7ACC" w:rsidRPr="00D92CD8">
        <w:rPr>
          <w:b/>
          <w:i/>
          <w:color w:val="000000" w:themeColor="text1"/>
        </w:rPr>
        <w:t xml:space="preserve"> </w:t>
      </w:r>
      <w:r w:rsidR="0001425B" w:rsidRPr="00D92CD8">
        <w:rPr>
          <w:b/>
          <w:i/>
          <w:color w:val="000000" w:themeColor="text1"/>
        </w:rPr>
        <w:t>30-027 sur la crédibilité d’une démarche de responsabilité sociétale</w:t>
      </w:r>
    </w:p>
    <w:p w14:paraId="29C02F91" w14:textId="77777777" w:rsidR="000E6767" w:rsidRDefault="000E6767" w:rsidP="00963110">
      <w:pPr>
        <w:jc w:val="both"/>
        <w:rPr>
          <w:color w:val="FF0000"/>
          <w:sz w:val="22"/>
          <w:szCs w:val="22"/>
        </w:rPr>
      </w:pPr>
    </w:p>
    <w:p w14:paraId="468BB6D9" w14:textId="3567979F" w:rsidR="004544CE" w:rsidRPr="004544CE" w:rsidRDefault="004544CE" w:rsidP="00963110">
      <w:pPr>
        <w:jc w:val="both"/>
        <w:rPr>
          <w:color w:val="000000" w:themeColor="text1"/>
          <w:sz w:val="22"/>
          <w:szCs w:val="22"/>
        </w:rPr>
      </w:pPr>
      <w:r w:rsidRPr="004544CE">
        <w:rPr>
          <w:color w:val="000000" w:themeColor="text1"/>
          <w:sz w:val="22"/>
          <w:szCs w:val="22"/>
        </w:rPr>
        <w:t>Cette norme intitulée</w:t>
      </w:r>
      <w:r>
        <w:rPr>
          <w:color w:val="000000" w:themeColor="text1"/>
          <w:sz w:val="22"/>
          <w:szCs w:val="22"/>
        </w:rPr>
        <w:t> : Développement durable – Responsabilité sociétale – Rendre crédible une démarche de responsabilité sociétale basée sur l’ISO 26000 a été publiée en octobre 2016.</w:t>
      </w:r>
    </w:p>
    <w:p w14:paraId="78F285CF" w14:textId="77777777" w:rsidR="004544CE" w:rsidRPr="004544CE" w:rsidRDefault="004544CE" w:rsidP="00963110">
      <w:pPr>
        <w:jc w:val="both"/>
        <w:rPr>
          <w:color w:val="000000" w:themeColor="text1"/>
          <w:sz w:val="22"/>
          <w:szCs w:val="22"/>
        </w:rPr>
      </w:pPr>
    </w:p>
    <w:p w14:paraId="4CEDA2B8" w14:textId="7FA72989" w:rsidR="000E6767" w:rsidRPr="00D92CD8" w:rsidRDefault="00D92CD8" w:rsidP="00963110">
      <w:pPr>
        <w:jc w:val="both"/>
        <w:rPr>
          <w:color w:val="000000" w:themeColor="text1"/>
          <w:sz w:val="22"/>
          <w:szCs w:val="22"/>
        </w:rPr>
      </w:pPr>
      <w:r w:rsidRPr="004544CE">
        <w:rPr>
          <w:color w:val="000000" w:themeColor="text1"/>
          <w:sz w:val="22"/>
          <w:szCs w:val="22"/>
        </w:rPr>
        <w:t xml:space="preserve">Rappel : </w:t>
      </w:r>
      <w:r w:rsidR="000E6767" w:rsidRPr="004544CE">
        <w:rPr>
          <w:color w:val="000000" w:themeColor="text1"/>
          <w:sz w:val="22"/>
          <w:szCs w:val="22"/>
        </w:rPr>
        <w:t xml:space="preserve">Le statut de norme expérimentale </w:t>
      </w:r>
      <w:r w:rsidR="000E6767" w:rsidRPr="00D92CD8">
        <w:rPr>
          <w:color w:val="000000" w:themeColor="text1"/>
          <w:sz w:val="22"/>
          <w:szCs w:val="22"/>
        </w:rPr>
        <w:t>(XP) a été reconduit pour 3 ans.</w:t>
      </w:r>
    </w:p>
    <w:p w14:paraId="3923912E" w14:textId="77777777" w:rsidR="000E6767" w:rsidRPr="00D92CD8" w:rsidRDefault="000E6767" w:rsidP="00963110">
      <w:pPr>
        <w:jc w:val="both"/>
        <w:rPr>
          <w:color w:val="000000" w:themeColor="text1"/>
          <w:sz w:val="22"/>
          <w:szCs w:val="22"/>
        </w:rPr>
      </w:pPr>
    </w:p>
    <w:p w14:paraId="2CB85AB1" w14:textId="124A339C" w:rsidR="000E6767" w:rsidRPr="00D92CD8" w:rsidRDefault="000E6767" w:rsidP="00963110">
      <w:pPr>
        <w:jc w:val="both"/>
        <w:rPr>
          <w:color w:val="000000" w:themeColor="text1"/>
          <w:sz w:val="22"/>
          <w:szCs w:val="22"/>
        </w:rPr>
      </w:pPr>
      <w:r w:rsidRPr="00D92CD8">
        <w:rPr>
          <w:color w:val="000000" w:themeColor="text1"/>
          <w:sz w:val="22"/>
          <w:szCs w:val="22"/>
        </w:rPr>
        <w:t>Rappelons qu’un questionnaire d’auto-évaluation de crédibilité de la démarche de responsabilité sociét</w:t>
      </w:r>
      <w:r w:rsidR="00D92CD8">
        <w:rPr>
          <w:color w:val="000000" w:themeColor="text1"/>
          <w:sz w:val="22"/>
          <w:szCs w:val="22"/>
        </w:rPr>
        <w:t>ale a été intégré dans la norme</w:t>
      </w:r>
      <w:r w:rsidRPr="00D92CD8">
        <w:rPr>
          <w:color w:val="000000" w:themeColor="text1"/>
          <w:sz w:val="22"/>
          <w:szCs w:val="22"/>
        </w:rPr>
        <w:t>.</w:t>
      </w:r>
      <w:r w:rsidR="00D92CD8">
        <w:rPr>
          <w:color w:val="000000" w:themeColor="text1"/>
          <w:sz w:val="22"/>
          <w:szCs w:val="22"/>
        </w:rPr>
        <w:t xml:space="preserve"> Il permet également une auto-déclaration en la matière.</w:t>
      </w:r>
    </w:p>
    <w:p w14:paraId="4B28EE89" w14:textId="77777777" w:rsidR="000E6767" w:rsidRPr="00A57952" w:rsidRDefault="000E6767" w:rsidP="00963110">
      <w:pPr>
        <w:jc w:val="both"/>
        <w:rPr>
          <w:i/>
          <w:color w:val="FF0000"/>
          <w:sz w:val="22"/>
          <w:szCs w:val="22"/>
        </w:rPr>
      </w:pPr>
    </w:p>
    <w:p w14:paraId="0FF1B521" w14:textId="46BE67F6" w:rsidR="0001425B" w:rsidRPr="009F0FAF" w:rsidRDefault="0001425B" w:rsidP="0001425B">
      <w:pPr>
        <w:jc w:val="center"/>
        <w:rPr>
          <w:color w:val="000000" w:themeColor="text1"/>
          <w:sz w:val="22"/>
          <w:szCs w:val="22"/>
        </w:rPr>
      </w:pPr>
      <w:r w:rsidRPr="009F0FAF">
        <w:rPr>
          <w:color w:val="000000" w:themeColor="text1"/>
        </w:rPr>
        <w:t>---------------</w:t>
      </w:r>
    </w:p>
    <w:p w14:paraId="0E3F5400" w14:textId="77777777" w:rsidR="00652657" w:rsidRPr="00A57952" w:rsidRDefault="00652657" w:rsidP="00963110">
      <w:pPr>
        <w:jc w:val="both"/>
        <w:rPr>
          <w:i/>
          <w:color w:val="FF0000"/>
          <w:sz w:val="22"/>
          <w:szCs w:val="22"/>
        </w:rPr>
      </w:pPr>
    </w:p>
    <w:p w14:paraId="2E864B1C" w14:textId="6D92FAC4" w:rsidR="00652657" w:rsidRPr="009F0FAF" w:rsidRDefault="009F0FAF" w:rsidP="00963110">
      <w:pPr>
        <w:jc w:val="both"/>
        <w:rPr>
          <w:b/>
          <w:i/>
          <w:color w:val="000000" w:themeColor="text1"/>
        </w:rPr>
      </w:pPr>
      <w:r w:rsidRPr="009F0FAF">
        <w:rPr>
          <w:b/>
          <w:i/>
          <w:color w:val="000000" w:themeColor="text1"/>
        </w:rPr>
        <w:t xml:space="preserve">Rappel : </w:t>
      </w:r>
      <w:r w:rsidR="00652657" w:rsidRPr="009F0FAF">
        <w:rPr>
          <w:b/>
          <w:i/>
          <w:color w:val="000000" w:themeColor="text1"/>
        </w:rPr>
        <w:t xml:space="preserve"> </w:t>
      </w:r>
      <w:r w:rsidR="00B11BF6">
        <w:rPr>
          <w:b/>
          <w:i/>
          <w:color w:val="000000" w:themeColor="text1"/>
        </w:rPr>
        <w:t>N</w:t>
      </w:r>
      <w:r w:rsidR="00652657" w:rsidRPr="009F0FAF">
        <w:rPr>
          <w:b/>
          <w:i/>
          <w:color w:val="000000" w:themeColor="text1"/>
        </w:rPr>
        <w:t>orme NF X</w:t>
      </w:r>
      <w:r w:rsidR="006B7ACC" w:rsidRPr="009F0FAF">
        <w:rPr>
          <w:b/>
          <w:i/>
          <w:color w:val="000000" w:themeColor="text1"/>
        </w:rPr>
        <w:t xml:space="preserve"> </w:t>
      </w:r>
      <w:r w:rsidR="00652657" w:rsidRPr="009F0FAF">
        <w:rPr>
          <w:b/>
          <w:i/>
          <w:color w:val="000000" w:themeColor="text1"/>
        </w:rPr>
        <w:t>30-029</w:t>
      </w:r>
    </w:p>
    <w:p w14:paraId="141784A9" w14:textId="77777777" w:rsidR="00093BD4" w:rsidRPr="009F0FAF" w:rsidRDefault="00093BD4" w:rsidP="00963110">
      <w:pPr>
        <w:jc w:val="both"/>
        <w:rPr>
          <w:i/>
          <w:color w:val="000000" w:themeColor="text1"/>
          <w:sz w:val="22"/>
          <w:szCs w:val="22"/>
        </w:rPr>
      </w:pPr>
    </w:p>
    <w:p w14:paraId="2F747528" w14:textId="39C2DBD2" w:rsidR="00F2797E" w:rsidRPr="009F0FAF" w:rsidRDefault="00652657" w:rsidP="00963110">
      <w:pPr>
        <w:jc w:val="both"/>
        <w:rPr>
          <w:color w:val="000000" w:themeColor="text1"/>
          <w:sz w:val="22"/>
          <w:szCs w:val="22"/>
        </w:rPr>
      </w:pPr>
      <w:r w:rsidRPr="009F0FAF">
        <w:rPr>
          <w:color w:val="000000" w:themeColor="text1"/>
          <w:sz w:val="22"/>
          <w:szCs w:val="22"/>
        </w:rPr>
        <w:t xml:space="preserve">La </w:t>
      </w:r>
      <w:r w:rsidR="00110543" w:rsidRPr="009F0FAF">
        <w:rPr>
          <w:color w:val="000000" w:themeColor="text1"/>
          <w:sz w:val="22"/>
          <w:szCs w:val="22"/>
        </w:rPr>
        <w:t xml:space="preserve">nouvelle version de la </w:t>
      </w:r>
      <w:r w:rsidRPr="009F0FAF">
        <w:rPr>
          <w:color w:val="000000" w:themeColor="text1"/>
          <w:sz w:val="22"/>
          <w:szCs w:val="22"/>
        </w:rPr>
        <w:t xml:space="preserve">norme NF X 30-029 - </w:t>
      </w:r>
      <w:r w:rsidR="003074EC" w:rsidRPr="009F0FAF">
        <w:rPr>
          <w:color w:val="000000" w:themeColor="text1"/>
          <w:sz w:val="22"/>
          <w:szCs w:val="22"/>
        </w:rPr>
        <w:t>Analyse de matérialité – Priorisation des domaines d’action et des parties prenantes</w:t>
      </w:r>
      <w:r w:rsidRPr="009F0FAF">
        <w:rPr>
          <w:color w:val="000000" w:themeColor="text1"/>
          <w:sz w:val="22"/>
          <w:szCs w:val="22"/>
        </w:rPr>
        <w:t xml:space="preserve"> </w:t>
      </w:r>
      <w:r w:rsidR="00110543" w:rsidRPr="009F0FAF">
        <w:rPr>
          <w:color w:val="000000" w:themeColor="text1"/>
          <w:sz w:val="22"/>
          <w:szCs w:val="22"/>
        </w:rPr>
        <w:t>selon les lignes directrices de la norme</w:t>
      </w:r>
      <w:r w:rsidRPr="009F0FAF">
        <w:rPr>
          <w:color w:val="000000" w:themeColor="text1"/>
          <w:sz w:val="22"/>
          <w:szCs w:val="22"/>
        </w:rPr>
        <w:t xml:space="preserve"> ISO 26000 a été publiée fin juin 2016</w:t>
      </w:r>
      <w:r w:rsidR="00F2797E" w:rsidRPr="009F0FAF">
        <w:rPr>
          <w:color w:val="000000" w:themeColor="text1"/>
          <w:sz w:val="22"/>
          <w:szCs w:val="22"/>
        </w:rPr>
        <w:t xml:space="preserve">. </w:t>
      </w:r>
    </w:p>
    <w:p w14:paraId="0377CF39" w14:textId="77777777" w:rsidR="00110543" w:rsidRPr="009F0FAF" w:rsidRDefault="00110543" w:rsidP="00963110">
      <w:pPr>
        <w:jc w:val="both"/>
        <w:rPr>
          <w:color w:val="000000" w:themeColor="text1"/>
          <w:sz w:val="22"/>
          <w:szCs w:val="22"/>
        </w:rPr>
      </w:pPr>
    </w:p>
    <w:p w14:paraId="26557F92" w14:textId="014FC568" w:rsidR="00110543" w:rsidRPr="009F0FAF" w:rsidRDefault="00110543" w:rsidP="00963110">
      <w:pPr>
        <w:jc w:val="both"/>
        <w:rPr>
          <w:color w:val="000000" w:themeColor="text1"/>
          <w:sz w:val="22"/>
          <w:szCs w:val="22"/>
        </w:rPr>
      </w:pPr>
      <w:r w:rsidRPr="009F0FAF">
        <w:rPr>
          <w:color w:val="000000" w:themeColor="text1"/>
          <w:sz w:val="22"/>
          <w:szCs w:val="22"/>
        </w:rPr>
        <w:t xml:space="preserve">Les principales modifications par rapport à la première version portent sur : </w:t>
      </w:r>
    </w:p>
    <w:p w14:paraId="6AA125EA" w14:textId="4BCC90C7" w:rsidR="00110543" w:rsidRPr="009F0FAF" w:rsidRDefault="00110543" w:rsidP="00110543">
      <w:pPr>
        <w:pStyle w:val="Pardeliste"/>
        <w:numPr>
          <w:ilvl w:val="0"/>
          <w:numId w:val="13"/>
        </w:numPr>
        <w:jc w:val="both"/>
        <w:rPr>
          <w:color w:val="000000" w:themeColor="text1"/>
          <w:sz w:val="22"/>
          <w:szCs w:val="22"/>
        </w:rPr>
      </w:pPr>
      <w:r w:rsidRPr="009F0FAF">
        <w:rPr>
          <w:color w:val="000000" w:themeColor="text1"/>
          <w:sz w:val="22"/>
          <w:szCs w:val="22"/>
        </w:rPr>
        <w:t xml:space="preserve">l’introduction du terme matérialité, </w:t>
      </w:r>
    </w:p>
    <w:p w14:paraId="57F0CBF0" w14:textId="6D0DC5ED" w:rsidR="00110543" w:rsidRPr="009F0FAF" w:rsidRDefault="00110543" w:rsidP="00110543">
      <w:pPr>
        <w:pStyle w:val="Pardeliste"/>
        <w:numPr>
          <w:ilvl w:val="0"/>
          <w:numId w:val="13"/>
        </w:numPr>
        <w:jc w:val="both"/>
        <w:rPr>
          <w:color w:val="000000" w:themeColor="text1"/>
          <w:sz w:val="22"/>
          <w:szCs w:val="22"/>
        </w:rPr>
      </w:pPr>
      <w:r w:rsidRPr="009F0FAF">
        <w:rPr>
          <w:color w:val="000000" w:themeColor="text1"/>
          <w:sz w:val="22"/>
          <w:szCs w:val="22"/>
        </w:rPr>
        <w:t xml:space="preserve">l’amélioration des tableaux relatifs à l’évaluation des niveaux d’importance, </w:t>
      </w:r>
    </w:p>
    <w:p w14:paraId="474CEC30" w14:textId="37CE5A3C" w:rsidR="00110543" w:rsidRPr="009F0FAF" w:rsidRDefault="00110543" w:rsidP="00110543">
      <w:pPr>
        <w:pStyle w:val="Pardeliste"/>
        <w:numPr>
          <w:ilvl w:val="0"/>
          <w:numId w:val="13"/>
        </w:numPr>
        <w:jc w:val="both"/>
        <w:rPr>
          <w:color w:val="000000" w:themeColor="text1"/>
          <w:sz w:val="22"/>
          <w:szCs w:val="22"/>
        </w:rPr>
      </w:pPr>
      <w:r w:rsidRPr="009F0FAF">
        <w:rPr>
          <w:color w:val="000000" w:themeColor="text1"/>
          <w:sz w:val="22"/>
          <w:szCs w:val="22"/>
        </w:rPr>
        <w:lastRenderedPageBreak/>
        <w:t xml:space="preserve">l’introduction de la recommandation de participation d’un tiers dans certaines évaluations, </w:t>
      </w:r>
    </w:p>
    <w:p w14:paraId="4E94A6C3" w14:textId="32CC1E4D" w:rsidR="00110543" w:rsidRDefault="00110543" w:rsidP="00110543">
      <w:pPr>
        <w:pStyle w:val="Pardeliste"/>
        <w:numPr>
          <w:ilvl w:val="0"/>
          <w:numId w:val="13"/>
        </w:numPr>
        <w:jc w:val="both"/>
        <w:rPr>
          <w:color w:val="000000" w:themeColor="text1"/>
          <w:sz w:val="22"/>
          <w:szCs w:val="22"/>
        </w:rPr>
      </w:pPr>
      <w:r w:rsidRPr="009F0FAF">
        <w:rPr>
          <w:color w:val="000000" w:themeColor="text1"/>
          <w:sz w:val="22"/>
          <w:szCs w:val="22"/>
        </w:rPr>
        <w:t xml:space="preserve">l’inversion de l’ordre des articles 5 et 6. </w:t>
      </w:r>
    </w:p>
    <w:p w14:paraId="063F217F" w14:textId="77777777" w:rsidR="00FB05A8" w:rsidRPr="009452E9" w:rsidRDefault="00FB05A8" w:rsidP="009452E9">
      <w:pPr>
        <w:jc w:val="both"/>
        <w:rPr>
          <w:color w:val="000000" w:themeColor="text1"/>
          <w:sz w:val="22"/>
          <w:szCs w:val="22"/>
        </w:rPr>
      </w:pPr>
    </w:p>
    <w:p w14:paraId="020057F6" w14:textId="77777777" w:rsidR="00FB05A8" w:rsidRPr="00FB05A8" w:rsidRDefault="00FB05A8" w:rsidP="00FB05A8">
      <w:pPr>
        <w:pStyle w:val="Pardeliste"/>
        <w:jc w:val="center"/>
        <w:rPr>
          <w:color w:val="000000" w:themeColor="text1"/>
          <w:sz w:val="22"/>
          <w:szCs w:val="22"/>
        </w:rPr>
      </w:pPr>
      <w:r w:rsidRPr="00FB05A8">
        <w:rPr>
          <w:color w:val="000000" w:themeColor="text1"/>
        </w:rPr>
        <w:t>---------------</w:t>
      </w:r>
    </w:p>
    <w:p w14:paraId="3EF4B4A4" w14:textId="77777777" w:rsidR="00FB05A8" w:rsidRDefault="00FB05A8" w:rsidP="00FB05A8">
      <w:pPr>
        <w:jc w:val="both"/>
        <w:rPr>
          <w:i/>
          <w:color w:val="FF0000"/>
          <w:sz w:val="22"/>
          <w:szCs w:val="22"/>
        </w:rPr>
      </w:pPr>
    </w:p>
    <w:p w14:paraId="31FDD764" w14:textId="04DB1703" w:rsidR="00FB05A8" w:rsidRPr="00FB05A8" w:rsidRDefault="00FB05A8" w:rsidP="00FB05A8">
      <w:pPr>
        <w:jc w:val="both"/>
        <w:rPr>
          <w:b/>
          <w:color w:val="000000" w:themeColor="text1"/>
          <w:sz w:val="22"/>
          <w:szCs w:val="22"/>
        </w:rPr>
      </w:pPr>
      <w:r w:rsidRPr="00FB05A8">
        <w:rPr>
          <w:b/>
          <w:color w:val="000000" w:themeColor="text1"/>
          <w:sz w:val="22"/>
          <w:szCs w:val="22"/>
        </w:rPr>
        <w:t xml:space="preserve">Le saviez-vous ? </w:t>
      </w:r>
    </w:p>
    <w:p w14:paraId="34DC5CA6" w14:textId="77777777" w:rsidR="00FB05A8" w:rsidRDefault="00FB05A8" w:rsidP="00FB05A8">
      <w:pPr>
        <w:jc w:val="both"/>
        <w:rPr>
          <w:i/>
          <w:color w:val="FF0000"/>
          <w:sz w:val="22"/>
          <w:szCs w:val="22"/>
        </w:rPr>
      </w:pPr>
    </w:p>
    <w:p w14:paraId="640E853C" w14:textId="57CD655E" w:rsidR="00FB05A8" w:rsidRDefault="00FB05A8" w:rsidP="00FB05A8">
      <w:pPr>
        <w:jc w:val="both"/>
        <w:rPr>
          <w:color w:val="000000" w:themeColor="text1"/>
          <w:sz w:val="22"/>
          <w:szCs w:val="22"/>
        </w:rPr>
      </w:pPr>
      <w:r w:rsidRPr="00FB05A8">
        <w:rPr>
          <w:color w:val="000000" w:themeColor="text1"/>
          <w:sz w:val="22"/>
          <w:szCs w:val="22"/>
        </w:rPr>
        <w:t xml:space="preserve">Il existe une norme </w:t>
      </w:r>
      <w:r>
        <w:rPr>
          <w:color w:val="000000" w:themeColor="text1"/>
          <w:sz w:val="22"/>
          <w:szCs w:val="22"/>
        </w:rPr>
        <w:t xml:space="preserve">française relative à la médiation sociale. </w:t>
      </w:r>
    </w:p>
    <w:p w14:paraId="3689995D" w14:textId="77777777" w:rsidR="00FB05A8" w:rsidRDefault="00FB05A8" w:rsidP="00FB05A8">
      <w:pPr>
        <w:jc w:val="both"/>
        <w:rPr>
          <w:color w:val="000000" w:themeColor="text1"/>
          <w:sz w:val="22"/>
          <w:szCs w:val="22"/>
        </w:rPr>
      </w:pPr>
    </w:p>
    <w:p w14:paraId="7DB6A627" w14:textId="6D6CD6AB" w:rsidR="00FB05A8" w:rsidRDefault="00FB05A8" w:rsidP="00FB05A8">
      <w:pPr>
        <w:jc w:val="both"/>
        <w:rPr>
          <w:color w:val="000000" w:themeColor="text1"/>
          <w:sz w:val="22"/>
          <w:szCs w:val="22"/>
        </w:rPr>
      </w:pPr>
      <w:r>
        <w:rPr>
          <w:color w:val="000000" w:themeColor="text1"/>
          <w:sz w:val="22"/>
          <w:szCs w:val="22"/>
        </w:rPr>
        <w:t xml:space="preserve">Il s’agit de la norme XP X60-600 : Cadre du métier de médiation sociale – Qualité des activités de méditation sociale – Lignes directrices. </w:t>
      </w:r>
    </w:p>
    <w:p w14:paraId="203F9FE7" w14:textId="77777777" w:rsidR="00FB05A8" w:rsidRPr="009F0FAF" w:rsidRDefault="00FB05A8" w:rsidP="00FB05A8">
      <w:pPr>
        <w:jc w:val="center"/>
        <w:rPr>
          <w:color w:val="000000" w:themeColor="text1"/>
          <w:sz w:val="22"/>
          <w:szCs w:val="22"/>
        </w:rPr>
      </w:pPr>
      <w:r w:rsidRPr="009F0FAF">
        <w:rPr>
          <w:color w:val="000000" w:themeColor="text1"/>
        </w:rPr>
        <w:t>---------------</w:t>
      </w:r>
    </w:p>
    <w:p w14:paraId="43E61D03" w14:textId="77777777" w:rsidR="00FB05A8" w:rsidRPr="00A57952" w:rsidRDefault="00FB05A8" w:rsidP="00FB05A8">
      <w:pPr>
        <w:jc w:val="both"/>
        <w:rPr>
          <w:i/>
          <w:color w:val="FF0000"/>
          <w:sz w:val="22"/>
          <w:szCs w:val="22"/>
        </w:rPr>
      </w:pPr>
    </w:p>
    <w:p w14:paraId="03745077" w14:textId="77777777" w:rsidR="00FB05A8" w:rsidRDefault="00FB05A8" w:rsidP="00FB05A8">
      <w:pPr>
        <w:jc w:val="both"/>
        <w:rPr>
          <w:color w:val="000000" w:themeColor="text1"/>
          <w:sz w:val="22"/>
          <w:szCs w:val="22"/>
        </w:rPr>
      </w:pPr>
    </w:p>
    <w:p w14:paraId="08E251E8" w14:textId="77777777" w:rsidR="00FB05A8" w:rsidRPr="00FB05A8" w:rsidRDefault="00FB05A8" w:rsidP="00FB05A8">
      <w:pPr>
        <w:jc w:val="both"/>
        <w:rPr>
          <w:color w:val="000000" w:themeColor="text1"/>
          <w:sz w:val="22"/>
          <w:szCs w:val="22"/>
        </w:rPr>
      </w:pPr>
    </w:p>
    <w:p w14:paraId="426A5EFD" w14:textId="77777777" w:rsidR="00F2797E" w:rsidRPr="009F0FAF" w:rsidRDefault="00F2797E" w:rsidP="00963110">
      <w:pPr>
        <w:jc w:val="both"/>
        <w:rPr>
          <w:color w:val="000000" w:themeColor="text1"/>
          <w:sz w:val="22"/>
          <w:szCs w:val="22"/>
        </w:rPr>
      </w:pPr>
    </w:p>
    <w:p w14:paraId="28EC2CFF" w14:textId="0786E90A" w:rsidR="00D72106" w:rsidRPr="00D92CD8" w:rsidRDefault="009F0FAF" w:rsidP="009F0FAF">
      <w:pPr>
        <w:rPr>
          <w:i/>
          <w:color w:val="000000" w:themeColor="text1"/>
        </w:rPr>
      </w:pPr>
      <w:r>
        <w:rPr>
          <w:i/>
          <w:color w:val="000000" w:themeColor="text1"/>
        </w:rPr>
        <w:br w:type="page"/>
      </w:r>
    </w:p>
    <w:p w14:paraId="1646C6E6" w14:textId="2B138E3B" w:rsidR="003074EC" w:rsidRPr="00D92CD8" w:rsidRDefault="003074EC" w:rsidP="00963110">
      <w:pPr>
        <w:pBdr>
          <w:top w:val="single" w:sz="4" w:space="1" w:color="auto"/>
          <w:left w:val="single" w:sz="4" w:space="4" w:color="auto"/>
          <w:bottom w:val="single" w:sz="4" w:space="1" w:color="auto"/>
          <w:right w:val="single" w:sz="4" w:space="4" w:color="auto"/>
        </w:pBdr>
        <w:jc w:val="both"/>
        <w:rPr>
          <w:b/>
          <w:i/>
          <w:color w:val="000000" w:themeColor="text1"/>
        </w:rPr>
      </w:pPr>
      <w:r w:rsidRPr="00D92CD8">
        <w:rPr>
          <w:b/>
          <w:i/>
          <w:color w:val="000000" w:themeColor="text1"/>
        </w:rPr>
        <w:lastRenderedPageBreak/>
        <w:t xml:space="preserve">Les travaux de normalisation dans des domaines connexes (anti-corruption, compliance, qualité, risque, audit, environnement, </w:t>
      </w:r>
      <w:r w:rsidR="000E6767" w:rsidRPr="00D92CD8">
        <w:rPr>
          <w:b/>
          <w:i/>
          <w:color w:val="000000" w:themeColor="text1"/>
        </w:rPr>
        <w:t>santé &amp; sécurité au travail</w:t>
      </w:r>
      <w:r w:rsidRPr="00D92CD8">
        <w:rPr>
          <w:b/>
          <w:i/>
          <w:color w:val="000000" w:themeColor="text1"/>
        </w:rPr>
        <w:t>…)</w:t>
      </w:r>
    </w:p>
    <w:p w14:paraId="001D21FF" w14:textId="77777777" w:rsidR="00990358" w:rsidRPr="00D92CD8" w:rsidRDefault="00990358" w:rsidP="00963110">
      <w:pPr>
        <w:jc w:val="both"/>
        <w:rPr>
          <w:i/>
          <w:color w:val="000000" w:themeColor="text1"/>
        </w:rPr>
      </w:pPr>
    </w:p>
    <w:p w14:paraId="644274EF" w14:textId="0AFD891F" w:rsidR="00D72106" w:rsidRPr="00D92CD8" w:rsidRDefault="00D72106" w:rsidP="00D72106">
      <w:pPr>
        <w:jc w:val="center"/>
        <w:rPr>
          <w:i/>
          <w:color w:val="000000" w:themeColor="text1"/>
        </w:rPr>
      </w:pPr>
      <w:r w:rsidRPr="00D92CD8">
        <w:rPr>
          <w:color w:val="000000" w:themeColor="text1"/>
        </w:rPr>
        <w:t>---------------</w:t>
      </w:r>
    </w:p>
    <w:p w14:paraId="648CDCBF" w14:textId="77777777" w:rsidR="00D72106" w:rsidRPr="00D92CD8" w:rsidRDefault="00D72106" w:rsidP="00963110">
      <w:pPr>
        <w:jc w:val="both"/>
        <w:rPr>
          <w:i/>
          <w:color w:val="000000" w:themeColor="text1"/>
        </w:rPr>
      </w:pPr>
    </w:p>
    <w:p w14:paraId="78ADD0DB" w14:textId="245A8B33" w:rsidR="00990358" w:rsidRPr="00D92CD8" w:rsidRDefault="00C37BB8" w:rsidP="00963110">
      <w:pPr>
        <w:jc w:val="both"/>
        <w:rPr>
          <w:b/>
          <w:i/>
          <w:color w:val="000000" w:themeColor="text1"/>
        </w:rPr>
      </w:pPr>
      <w:r w:rsidRPr="00D92CD8">
        <w:rPr>
          <w:b/>
          <w:i/>
          <w:color w:val="000000" w:themeColor="text1"/>
        </w:rPr>
        <w:t>A</w:t>
      </w:r>
      <w:r w:rsidR="00990358" w:rsidRPr="00D92CD8">
        <w:rPr>
          <w:b/>
          <w:i/>
          <w:color w:val="000000" w:themeColor="text1"/>
        </w:rPr>
        <w:t>nti-corruption</w:t>
      </w:r>
    </w:p>
    <w:p w14:paraId="7508A169" w14:textId="77777777" w:rsidR="00990358" w:rsidRPr="00D92CD8" w:rsidRDefault="00990358" w:rsidP="00963110">
      <w:pPr>
        <w:jc w:val="both"/>
        <w:rPr>
          <w:i/>
          <w:color w:val="000000" w:themeColor="text1"/>
        </w:rPr>
      </w:pPr>
    </w:p>
    <w:p w14:paraId="0615F1B5" w14:textId="7C486CE2" w:rsidR="002E7AB4" w:rsidRDefault="00617A8A" w:rsidP="00617A8A">
      <w:pPr>
        <w:rPr>
          <w:rFonts w:ascii="Times New Roman" w:eastAsia="Times New Roman" w:hAnsi="Times New Roman" w:cs="Times New Roman"/>
          <w:color w:val="000000" w:themeColor="text1"/>
        </w:rPr>
      </w:pPr>
      <w:r w:rsidRPr="00D92CD8">
        <w:rPr>
          <w:rFonts w:ascii="Times New Roman" w:eastAsia="Times New Roman" w:hAnsi="Times New Roman" w:cs="Times New Roman"/>
          <w:color w:val="000000" w:themeColor="text1"/>
        </w:rPr>
        <w:t>La norme ISO 3700</w:t>
      </w:r>
      <w:r w:rsidR="002E7AB4">
        <w:rPr>
          <w:rFonts w:ascii="Times New Roman" w:eastAsia="Times New Roman" w:hAnsi="Times New Roman" w:cs="Times New Roman"/>
          <w:color w:val="000000" w:themeColor="text1"/>
        </w:rPr>
        <w:t xml:space="preserve">1 – Systèmes de management </w:t>
      </w:r>
      <w:r w:rsidRPr="00D92CD8">
        <w:rPr>
          <w:rFonts w:ascii="Times New Roman" w:eastAsia="Times New Roman" w:hAnsi="Times New Roman" w:cs="Times New Roman"/>
          <w:color w:val="000000" w:themeColor="text1"/>
        </w:rPr>
        <w:t>anti-corruption</w:t>
      </w:r>
      <w:r w:rsidR="002E7AB4">
        <w:rPr>
          <w:rFonts w:ascii="Times New Roman" w:eastAsia="Times New Roman" w:hAnsi="Times New Roman" w:cs="Times New Roman"/>
          <w:color w:val="000000" w:themeColor="text1"/>
        </w:rPr>
        <w:t xml:space="preserve"> – Exigences et recommandations de mise en </w:t>
      </w:r>
      <w:r w:rsidR="00D777A1">
        <w:rPr>
          <w:rFonts w:ascii="Times New Roman" w:eastAsia="Times New Roman" w:hAnsi="Times New Roman" w:cs="Times New Roman"/>
          <w:color w:val="000000" w:themeColor="text1"/>
        </w:rPr>
        <w:t>œuvre</w:t>
      </w:r>
      <w:r w:rsidRPr="00D92CD8">
        <w:rPr>
          <w:rFonts w:ascii="Times New Roman" w:eastAsia="Times New Roman" w:hAnsi="Times New Roman" w:cs="Times New Roman"/>
          <w:color w:val="000000" w:themeColor="text1"/>
        </w:rPr>
        <w:t xml:space="preserve"> </w:t>
      </w:r>
      <w:r w:rsidR="00D92CD8">
        <w:rPr>
          <w:rFonts w:ascii="Times New Roman" w:eastAsia="Times New Roman" w:hAnsi="Times New Roman" w:cs="Times New Roman"/>
          <w:color w:val="000000" w:themeColor="text1"/>
        </w:rPr>
        <w:t xml:space="preserve">a été publiée </w:t>
      </w:r>
      <w:r w:rsidR="009452E9">
        <w:rPr>
          <w:rFonts w:ascii="Times New Roman" w:eastAsia="Times New Roman" w:hAnsi="Times New Roman" w:cs="Times New Roman"/>
          <w:color w:val="000000" w:themeColor="text1"/>
        </w:rPr>
        <w:t xml:space="preserve">en octobre </w:t>
      </w:r>
      <w:r w:rsidR="002E7AB4">
        <w:rPr>
          <w:rFonts w:ascii="Times New Roman" w:eastAsia="Times New Roman" w:hAnsi="Times New Roman" w:cs="Times New Roman"/>
          <w:color w:val="000000" w:themeColor="text1"/>
        </w:rPr>
        <w:t>2016</w:t>
      </w:r>
      <w:r w:rsidR="00F2797E" w:rsidRPr="00D92CD8">
        <w:rPr>
          <w:rFonts w:ascii="Times New Roman" w:eastAsia="Times New Roman" w:hAnsi="Times New Roman" w:cs="Times New Roman"/>
          <w:color w:val="000000" w:themeColor="text1"/>
        </w:rPr>
        <w:t>.</w:t>
      </w:r>
      <w:r w:rsidR="0068513B">
        <w:rPr>
          <w:rFonts w:ascii="Times New Roman" w:eastAsia="Times New Roman" w:hAnsi="Times New Roman" w:cs="Times New Roman"/>
          <w:color w:val="000000" w:themeColor="text1"/>
        </w:rPr>
        <w:t xml:space="preserve"> </w:t>
      </w:r>
      <w:r w:rsidR="002E7AB4">
        <w:rPr>
          <w:rFonts w:ascii="Times New Roman" w:eastAsia="Times New Roman" w:hAnsi="Times New Roman" w:cs="Times New Roman"/>
          <w:color w:val="000000" w:themeColor="text1"/>
        </w:rPr>
        <w:t xml:space="preserve">Rappelons qu’il s’agit d’une norme d’exigences et qu’à ce titre toute forme de certification (simple partie, seconde partie, tierce partie) est envisageable. </w:t>
      </w:r>
    </w:p>
    <w:p w14:paraId="663B7C35" w14:textId="77777777" w:rsidR="005C074E" w:rsidRDefault="005C074E" w:rsidP="00617A8A">
      <w:pPr>
        <w:rPr>
          <w:rFonts w:ascii="Times New Roman" w:eastAsia="Times New Roman" w:hAnsi="Times New Roman" w:cs="Times New Roman"/>
          <w:color w:val="000000" w:themeColor="text1"/>
        </w:rPr>
      </w:pPr>
    </w:p>
    <w:p w14:paraId="1318E376" w14:textId="0405B43C" w:rsidR="005C074E" w:rsidRPr="00D92CD8" w:rsidRDefault="005C074E" w:rsidP="00617A8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En corollaire, la </w:t>
      </w:r>
      <w:r w:rsidR="00DB7415">
        <w:rPr>
          <w:rFonts w:ascii="Times New Roman" w:eastAsia="Times New Roman" w:hAnsi="Times New Roman" w:cs="Times New Roman"/>
          <w:color w:val="000000" w:themeColor="text1"/>
        </w:rPr>
        <w:t>norme ISO/CEI/</w:t>
      </w:r>
      <w:r>
        <w:rPr>
          <w:rFonts w:ascii="Times New Roman" w:eastAsia="Times New Roman" w:hAnsi="Times New Roman" w:cs="Times New Roman"/>
          <w:color w:val="000000" w:themeColor="text1"/>
        </w:rPr>
        <w:t>DTS 17021-9 a été également publiée fin 2016. Cette norme est relative à l’évaluation de la conformité ; elle comporte les exigences pour les organismes procédant à l’audit et à la certification des systèmes de management ; la partie 9 est spécifique aux exigences de compétences pour l’audit et la certification des systèmes de management ant</w:t>
      </w:r>
      <w:r w:rsidR="00D777A1">
        <w:rPr>
          <w:rFonts w:ascii="Times New Roman" w:eastAsia="Times New Roman" w:hAnsi="Times New Roman" w:cs="Times New Roman"/>
          <w:color w:val="000000" w:themeColor="text1"/>
        </w:rPr>
        <w:t>i</w:t>
      </w:r>
      <w:r>
        <w:rPr>
          <w:rFonts w:ascii="Times New Roman" w:eastAsia="Times New Roman" w:hAnsi="Times New Roman" w:cs="Times New Roman"/>
          <w:color w:val="000000" w:themeColor="text1"/>
        </w:rPr>
        <w:t>-corruption.</w:t>
      </w:r>
    </w:p>
    <w:p w14:paraId="1656AEAD" w14:textId="77777777" w:rsidR="00617A8A" w:rsidRPr="00A57952" w:rsidRDefault="00617A8A" w:rsidP="00963110">
      <w:pPr>
        <w:jc w:val="both"/>
        <w:rPr>
          <w:color w:val="FF0000"/>
          <w:sz w:val="22"/>
          <w:szCs w:val="22"/>
        </w:rPr>
      </w:pPr>
    </w:p>
    <w:p w14:paraId="5DE32B09" w14:textId="77777777" w:rsidR="00C37BB8" w:rsidRPr="00D777A1" w:rsidRDefault="00C37BB8" w:rsidP="00C37BB8">
      <w:pPr>
        <w:jc w:val="center"/>
        <w:rPr>
          <w:color w:val="000000" w:themeColor="text1"/>
        </w:rPr>
      </w:pPr>
      <w:r w:rsidRPr="00D777A1">
        <w:rPr>
          <w:color w:val="000000" w:themeColor="text1"/>
        </w:rPr>
        <w:t>---------------</w:t>
      </w:r>
    </w:p>
    <w:p w14:paraId="517DFDEC" w14:textId="77777777" w:rsidR="00D777A1" w:rsidRPr="00D777A1" w:rsidRDefault="00D777A1" w:rsidP="00D777A1">
      <w:pPr>
        <w:rPr>
          <w:color w:val="000000" w:themeColor="text1"/>
        </w:rPr>
      </w:pPr>
    </w:p>
    <w:p w14:paraId="69832C09" w14:textId="683D4549" w:rsidR="00D777A1" w:rsidRPr="00D777A1" w:rsidRDefault="00D777A1" w:rsidP="00D777A1">
      <w:pPr>
        <w:rPr>
          <w:b/>
          <w:i/>
          <w:color w:val="000000" w:themeColor="text1"/>
        </w:rPr>
      </w:pPr>
      <w:r w:rsidRPr="00D777A1">
        <w:rPr>
          <w:b/>
          <w:i/>
          <w:color w:val="000000" w:themeColor="text1"/>
        </w:rPr>
        <w:t xml:space="preserve">Compliance / conformité </w:t>
      </w:r>
    </w:p>
    <w:p w14:paraId="7E97D292" w14:textId="77777777" w:rsidR="00D777A1" w:rsidRPr="00D777A1" w:rsidRDefault="00D777A1" w:rsidP="00C37BB8">
      <w:pPr>
        <w:jc w:val="center"/>
        <w:rPr>
          <w:color w:val="000000" w:themeColor="text1"/>
        </w:rPr>
      </w:pPr>
    </w:p>
    <w:p w14:paraId="0C1BD0C9" w14:textId="0980FDA0" w:rsidR="008113D6" w:rsidRDefault="00D777A1" w:rsidP="00D777A1">
      <w:pPr>
        <w:rPr>
          <w:color w:val="000000" w:themeColor="text1"/>
        </w:rPr>
      </w:pPr>
      <w:r>
        <w:rPr>
          <w:color w:val="000000" w:themeColor="text1"/>
        </w:rPr>
        <w:t xml:space="preserve">Rappel : la norme ISO 19600 </w:t>
      </w:r>
      <w:r w:rsidR="008113D6">
        <w:rPr>
          <w:color w:val="000000" w:themeColor="text1"/>
        </w:rPr>
        <w:t>–</w:t>
      </w:r>
      <w:r>
        <w:rPr>
          <w:color w:val="000000" w:themeColor="text1"/>
        </w:rPr>
        <w:t xml:space="preserve"> </w:t>
      </w:r>
      <w:r w:rsidR="008113D6">
        <w:rPr>
          <w:color w:val="000000" w:themeColor="text1"/>
        </w:rPr>
        <w:t xml:space="preserve">Systèmes de management de la compliance – lignes directrices a été publiée en </w:t>
      </w:r>
      <w:r w:rsidR="00DB7415">
        <w:rPr>
          <w:color w:val="000000" w:themeColor="text1"/>
        </w:rPr>
        <w:t xml:space="preserve">décembre </w:t>
      </w:r>
      <w:r w:rsidR="008113D6">
        <w:rPr>
          <w:color w:val="000000" w:themeColor="text1"/>
        </w:rPr>
        <w:t xml:space="preserve">2014. Il s’agit d’une norme contenant des lignes directrices qui </w:t>
      </w:r>
      <w:r w:rsidR="00DB7415">
        <w:rPr>
          <w:color w:val="000000" w:themeColor="text1"/>
        </w:rPr>
        <w:t xml:space="preserve">ne </w:t>
      </w:r>
      <w:r w:rsidR="008113D6">
        <w:rPr>
          <w:color w:val="000000" w:themeColor="text1"/>
        </w:rPr>
        <w:t xml:space="preserve">supporte en conséquence aucune certification. </w:t>
      </w:r>
    </w:p>
    <w:p w14:paraId="13B50DC8" w14:textId="77777777" w:rsidR="00D777A1" w:rsidRPr="00D777A1" w:rsidRDefault="00D777A1" w:rsidP="00D777A1">
      <w:pPr>
        <w:rPr>
          <w:color w:val="000000" w:themeColor="text1"/>
        </w:rPr>
      </w:pPr>
    </w:p>
    <w:p w14:paraId="48CF3DAD" w14:textId="77777777" w:rsidR="00D777A1" w:rsidRPr="00D777A1" w:rsidRDefault="00D777A1" w:rsidP="00D777A1">
      <w:pPr>
        <w:jc w:val="center"/>
        <w:rPr>
          <w:color w:val="000000" w:themeColor="text1"/>
        </w:rPr>
      </w:pPr>
      <w:r w:rsidRPr="00D777A1">
        <w:rPr>
          <w:color w:val="000000" w:themeColor="text1"/>
        </w:rPr>
        <w:t>---------------</w:t>
      </w:r>
    </w:p>
    <w:p w14:paraId="4E4BB0EC" w14:textId="77777777" w:rsidR="00D777A1" w:rsidRDefault="00D777A1" w:rsidP="00B11BF6">
      <w:pPr>
        <w:rPr>
          <w:color w:val="FF0000"/>
        </w:rPr>
      </w:pPr>
    </w:p>
    <w:p w14:paraId="3AAB19BB" w14:textId="42F09BA4" w:rsidR="00B11BF6" w:rsidRPr="00B11BF6" w:rsidRDefault="00B11BF6" w:rsidP="00B11BF6">
      <w:pPr>
        <w:rPr>
          <w:b/>
          <w:i/>
          <w:color w:val="000000" w:themeColor="text1"/>
        </w:rPr>
      </w:pPr>
      <w:r w:rsidRPr="00B11BF6">
        <w:rPr>
          <w:b/>
          <w:i/>
          <w:color w:val="000000" w:themeColor="text1"/>
        </w:rPr>
        <w:t xml:space="preserve">Comité de projet PC 286 : Management collaboratif des relations d’affaires </w:t>
      </w:r>
    </w:p>
    <w:p w14:paraId="2DF59F64" w14:textId="77777777" w:rsidR="00B11BF6" w:rsidRPr="00B11BF6" w:rsidRDefault="00B11BF6" w:rsidP="00B11BF6">
      <w:pPr>
        <w:rPr>
          <w:color w:val="000000" w:themeColor="text1"/>
        </w:rPr>
      </w:pPr>
    </w:p>
    <w:p w14:paraId="238FB407" w14:textId="7602D1F6" w:rsidR="00B11BF6" w:rsidRDefault="00B11BF6" w:rsidP="00B11BF6">
      <w:pPr>
        <w:rPr>
          <w:color w:val="000000" w:themeColor="text1"/>
        </w:rPr>
      </w:pPr>
      <w:r>
        <w:rPr>
          <w:color w:val="000000" w:themeColor="text1"/>
        </w:rPr>
        <w:t xml:space="preserve">Une concertation est en cours à l’ISO afin de transformer ce comité de projet (PC) en comité technique (TC). </w:t>
      </w:r>
    </w:p>
    <w:p w14:paraId="653DC193" w14:textId="77777777" w:rsidR="00B11BF6" w:rsidRDefault="00B11BF6" w:rsidP="00B11BF6">
      <w:pPr>
        <w:rPr>
          <w:color w:val="000000" w:themeColor="text1"/>
        </w:rPr>
      </w:pPr>
    </w:p>
    <w:p w14:paraId="0D38244F" w14:textId="170E70EF" w:rsidR="00B11BF6" w:rsidRDefault="00B11BF6" w:rsidP="00B11BF6">
      <w:pPr>
        <w:rPr>
          <w:color w:val="000000" w:themeColor="text1"/>
        </w:rPr>
      </w:pPr>
      <w:r>
        <w:rPr>
          <w:color w:val="000000" w:themeColor="text1"/>
        </w:rPr>
        <w:t xml:space="preserve">Les travaux s’appuient sur la norme ISO 11000 – Management collaboratif des relations d’affaires – Cadre de travail. </w:t>
      </w:r>
    </w:p>
    <w:p w14:paraId="61FDF5B9" w14:textId="77777777" w:rsidR="00B11BF6" w:rsidRDefault="00B11BF6" w:rsidP="00B11BF6">
      <w:pPr>
        <w:rPr>
          <w:color w:val="000000" w:themeColor="text1"/>
        </w:rPr>
      </w:pPr>
    </w:p>
    <w:p w14:paraId="3C764D65" w14:textId="5FF9025C" w:rsidR="00B11BF6" w:rsidRPr="00B11BF6" w:rsidRDefault="00B11BF6" w:rsidP="00B11BF6">
      <w:pPr>
        <w:jc w:val="center"/>
        <w:rPr>
          <w:color w:val="000000" w:themeColor="text1"/>
        </w:rPr>
      </w:pPr>
      <w:r w:rsidRPr="00B11BF6">
        <w:rPr>
          <w:color w:val="000000" w:themeColor="text1"/>
        </w:rPr>
        <w:t>---------------</w:t>
      </w:r>
    </w:p>
    <w:p w14:paraId="09B773D3" w14:textId="77777777" w:rsidR="00C37BB8" w:rsidRPr="00B11BF6" w:rsidRDefault="00C37BB8" w:rsidP="00963110">
      <w:pPr>
        <w:jc w:val="both"/>
        <w:rPr>
          <w:color w:val="000000" w:themeColor="text1"/>
          <w:sz w:val="22"/>
          <w:szCs w:val="22"/>
        </w:rPr>
      </w:pPr>
    </w:p>
    <w:p w14:paraId="5195ED17" w14:textId="77777777" w:rsidR="0068513B" w:rsidRDefault="0068513B" w:rsidP="00963110">
      <w:pPr>
        <w:jc w:val="both"/>
        <w:rPr>
          <w:b/>
          <w:i/>
          <w:color w:val="000000" w:themeColor="text1"/>
        </w:rPr>
      </w:pPr>
      <w:r w:rsidRPr="0068513B">
        <w:rPr>
          <w:b/>
          <w:i/>
          <w:color w:val="000000" w:themeColor="text1"/>
        </w:rPr>
        <w:t>Projet de création</w:t>
      </w:r>
      <w:r>
        <w:rPr>
          <w:b/>
          <w:i/>
          <w:color w:val="000000" w:themeColor="text1"/>
        </w:rPr>
        <w:t xml:space="preserve"> d’une nouvelle structure de normalisation internationale dédiée à « l’intégration d’un cadre d’excellence des entreprises avec les normes de management »</w:t>
      </w:r>
    </w:p>
    <w:p w14:paraId="6EA44D90" w14:textId="77777777" w:rsidR="0068513B" w:rsidRDefault="0068513B" w:rsidP="00963110">
      <w:pPr>
        <w:jc w:val="both"/>
        <w:rPr>
          <w:b/>
          <w:i/>
          <w:color w:val="000000" w:themeColor="text1"/>
        </w:rPr>
      </w:pPr>
    </w:p>
    <w:p w14:paraId="6832A853" w14:textId="2859104C" w:rsidR="0068513B" w:rsidRDefault="0068513B" w:rsidP="0068513B">
      <w:pPr>
        <w:jc w:val="both"/>
        <w:rPr>
          <w:color w:val="000000" w:themeColor="text1"/>
        </w:rPr>
      </w:pPr>
      <w:r w:rsidRPr="0068513B">
        <w:rPr>
          <w:color w:val="000000" w:themeColor="text1"/>
        </w:rPr>
        <w:t xml:space="preserve">L’ISO a émis un projet de création d’une nouvelle structure de normalisation internationale dédiée à </w:t>
      </w:r>
      <w:r>
        <w:rPr>
          <w:color w:val="000000" w:themeColor="text1"/>
        </w:rPr>
        <w:t>la rédaction de lignes directrices pour</w:t>
      </w:r>
      <w:r w:rsidRPr="0068513B">
        <w:rPr>
          <w:color w:val="000000" w:themeColor="text1"/>
        </w:rPr>
        <w:t> l’intégration d’un cadre d’excellence des entreprises avec les normes de management</w:t>
      </w:r>
      <w:r>
        <w:rPr>
          <w:color w:val="000000" w:themeColor="text1"/>
        </w:rPr>
        <w:t xml:space="preserve">. </w:t>
      </w:r>
    </w:p>
    <w:p w14:paraId="26D72FFF" w14:textId="77777777" w:rsidR="0068513B" w:rsidRDefault="0068513B" w:rsidP="0068513B">
      <w:pPr>
        <w:jc w:val="both"/>
        <w:rPr>
          <w:color w:val="000000" w:themeColor="text1"/>
        </w:rPr>
      </w:pPr>
    </w:p>
    <w:p w14:paraId="7BD2F219" w14:textId="4CD3E217" w:rsidR="0068513B" w:rsidRDefault="0068513B" w:rsidP="0068513B">
      <w:pPr>
        <w:jc w:val="both"/>
        <w:rPr>
          <w:color w:val="000000" w:themeColor="text1"/>
        </w:rPr>
      </w:pPr>
      <w:r>
        <w:rPr>
          <w:color w:val="000000" w:themeColor="text1"/>
        </w:rPr>
        <w:t>Selon l’ISO : « </w:t>
      </w:r>
      <w:r w:rsidRPr="0068513B">
        <w:rPr>
          <w:i/>
          <w:color w:val="000000" w:themeColor="text1"/>
        </w:rPr>
        <w:t>ces lignes directrices fourniront la feuille de route d’intégration des cadres d’excellence nationaux/internationaux des entreprises avec des normes de systèmes de management pour améliorer l’efficacité organisationnelle, faciliter une prise de décision efficace et promouvoir la transparence, l’innovation et l’amélioration continue </w:t>
      </w:r>
      <w:r>
        <w:rPr>
          <w:color w:val="000000" w:themeColor="text1"/>
        </w:rPr>
        <w:t xml:space="preserve">». </w:t>
      </w:r>
    </w:p>
    <w:p w14:paraId="44AA88BC" w14:textId="77777777" w:rsidR="0068513B" w:rsidRDefault="0068513B" w:rsidP="0068513B">
      <w:pPr>
        <w:jc w:val="both"/>
        <w:rPr>
          <w:color w:val="000000" w:themeColor="text1"/>
        </w:rPr>
      </w:pPr>
    </w:p>
    <w:p w14:paraId="58524493" w14:textId="1261482D" w:rsidR="0068513B" w:rsidRPr="0068513B" w:rsidRDefault="0068513B" w:rsidP="0068513B">
      <w:pPr>
        <w:jc w:val="both"/>
        <w:rPr>
          <w:color w:val="000000" w:themeColor="text1"/>
        </w:rPr>
      </w:pPr>
      <w:r>
        <w:rPr>
          <w:color w:val="000000" w:themeColor="text1"/>
        </w:rPr>
        <w:t xml:space="preserve">Affaire à suivre ! </w:t>
      </w:r>
    </w:p>
    <w:p w14:paraId="200F3799" w14:textId="44B5D037" w:rsidR="0068513B" w:rsidRPr="0068513B" w:rsidRDefault="0068513B" w:rsidP="00963110">
      <w:pPr>
        <w:jc w:val="both"/>
        <w:rPr>
          <w:b/>
          <w:i/>
          <w:color w:val="000000" w:themeColor="text1"/>
        </w:rPr>
      </w:pPr>
      <w:r>
        <w:rPr>
          <w:b/>
          <w:i/>
          <w:color w:val="000000" w:themeColor="text1"/>
        </w:rPr>
        <w:t xml:space="preserve">  </w:t>
      </w:r>
      <w:r w:rsidRPr="0068513B">
        <w:rPr>
          <w:b/>
          <w:i/>
          <w:color w:val="000000" w:themeColor="text1"/>
        </w:rPr>
        <w:t xml:space="preserve"> </w:t>
      </w:r>
    </w:p>
    <w:p w14:paraId="6C49C101" w14:textId="3B3BE9CB" w:rsidR="00A41583" w:rsidRPr="0068513B" w:rsidRDefault="00C37BB8" w:rsidP="0068513B">
      <w:pPr>
        <w:jc w:val="center"/>
        <w:rPr>
          <w:color w:val="000000" w:themeColor="text1"/>
        </w:rPr>
      </w:pPr>
      <w:r w:rsidRPr="0068513B">
        <w:rPr>
          <w:color w:val="000000" w:themeColor="text1"/>
        </w:rPr>
        <w:t>---------------</w:t>
      </w:r>
    </w:p>
    <w:p w14:paraId="6CBEDB2B" w14:textId="77777777" w:rsidR="00032B57" w:rsidRDefault="00032B57" w:rsidP="00963110">
      <w:pPr>
        <w:jc w:val="both"/>
        <w:rPr>
          <w:color w:val="FF0000"/>
        </w:rPr>
      </w:pPr>
    </w:p>
    <w:p w14:paraId="69D6B7E6" w14:textId="77777777" w:rsidR="00811FE6" w:rsidRPr="00A57952" w:rsidRDefault="00811FE6" w:rsidP="00963110">
      <w:pPr>
        <w:jc w:val="both"/>
        <w:rPr>
          <w:color w:val="FF0000"/>
        </w:rPr>
      </w:pPr>
    </w:p>
    <w:p w14:paraId="2C79A91E" w14:textId="2D24E0C6" w:rsidR="008A63AC" w:rsidRDefault="00A41583" w:rsidP="00963110">
      <w:pPr>
        <w:pBdr>
          <w:top w:val="single" w:sz="4" w:space="1" w:color="auto"/>
          <w:left w:val="single" w:sz="4" w:space="4" w:color="auto"/>
          <w:bottom w:val="single" w:sz="4" w:space="1" w:color="auto"/>
          <w:right w:val="single" w:sz="4" w:space="4" w:color="auto"/>
        </w:pBdr>
        <w:jc w:val="both"/>
        <w:rPr>
          <w:b/>
          <w:color w:val="000000" w:themeColor="text1"/>
        </w:rPr>
      </w:pPr>
      <w:r w:rsidRPr="00B30E18">
        <w:rPr>
          <w:b/>
          <w:color w:val="000000" w:themeColor="text1"/>
        </w:rPr>
        <w:t>Réflexion</w:t>
      </w:r>
      <w:r w:rsidR="00811FE6">
        <w:rPr>
          <w:b/>
          <w:color w:val="000000" w:themeColor="text1"/>
        </w:rPr>
        <w:t xml:space="preserve"> personnelle</w:t>
      </w:r>
    </w:p>
    <w:p w14:paraId="6D59E7F7" w14:textId="77777777" w:rsidR="00811FE6" w:rsidRDefault="00811FE6" w:rsidP="00963110">
      <w:pPr>
        <w:pBdr>
          <w:top w:val="single" w:sz="4" w:space="1" w:color="auto"/>
          <w:left w:val="single" w:sz="4" w:space="4" w:color="auto"/>
          <w:bottom w:val="single" w:sz="4" w:space="1" w:color="auto"/>
          <w:right w:val="single" w:sz="4" w:space="4" w:color="auto"/>
        </w:pBdr>
        <w:jc w:val="both"/>
        <w:rPr>
          <w:b/>
          <w:color w:val="000000" w:themeColor="text1"/>
        </w:rPr>
      </w:pPr>
    </w:p>
    <w:p w14:paraId="1AEB0600" w14:textId="509D7C49" w:rsidR="0092105B" w:rsidRDefault="0068513B" w:rsidP="00963110">
      <w:pPr>
        <w:pBdr>
          <w:top w:val="single" w:sz="4" w:space="1" w:color="auto"/>
          <w:left w:val="single" w:sz="4" w:space="4" w:color="auto"/>
          <w:bottom w:val="single" w:sz="4" w:space="1" w:color="auto"/>
          <w:right w:val="single" w:sz="4" w:space="4" w:color="auto"/>
        </w:pBdr>
        <w:jc w:val="both"/>
        <w:rPr>
          <w:color w:val="000000" w:themeColor="text1"/>
          <w:sz w:val="22"/>
          <w:szCs w:val="22"/>
        </w:rPr>
      </w:pPr>
      <w:r>
        <w:rPr>
          <w:b/>
          <w:color w:val="000000" w:themeColor="text1"/>
        </w:rPr>
        <w:t>Le printemps arrive : les nouveaux projets fleurissent à l’ISO</w:t>
      </w:r>
      <w:r>
        <w:rPr>
          <w:color w:val="000000" w:themeColor="text1"/>
          <w:sz w:val="22"/>
          <w:szCs w:val="22"/>
        </w:rPr>
        <w:t> !</w:t>
      </w:r>
    </w:p>
    <w:p w14:paraId="7ACFD116" w14:textId="77777777" w:rsidR="00811FE6" w:rsidRPr="006A44EC" w:rsidRDefault="00811FE6" w:rsidP="00963110">
      <w:pPr>
        <w:pBdr>
          <w:top w:val="single" w:sz="4" w:space="1" w:color="auto"/>
          <w:left w:val="single" w:sz="4" w:space="4" w:color="auto"/>
          <w:bottom w:val="single" w:sz="4" w:space="1" w:color="auto"/>
          <w:right w:val="single" w:sz="4" w:space="4" w:color="auto"/>
        </w:pBdr>
        <w:jc w:val="both"/>
        <w:rPr>
          <w:color w:val="000000" w:themeColor="text1"/>
          <w:sz w:val="22"/>
          <w:szCs w:val="22"/>
        </w:rPr>
      </w:pPr>
      <w:bookmarkStart w:id="0" w:name="_GoBack"/>
      <w:bookmarkEnd w:id="0"/>
    </w:p>
    <w:p w14:paraId="5292F393" w14:textId="540600E7" w:rsidR="00A41583" w:rsidRDefault="00A41583" w:rsidP="00A41583">
      <w:pPr>
        <w:rPr>
          <w:color w:val="000000" w:themeColor="text1"/>
        </w:rPr>
      </w:pPr>
    </w:p>
    <w:p w14:paraId="64263EAF" w14:textId="77777777" w:rsidR="00DF59AA" w:rsidRDefault="00DF59AA" w:rsidP="00A41583">
      <w:pPr>
        <w:rPr>
          <w:color w:val="000000" w:themeColor="text1"/>
        </w:rPr>
      </w:pPr>
    </w:p>
    <w:p w14:paraId="6A973906" w14:textId="62926AF4" w:rsidR="00A41583" w:rsidRPr="00DA020B" w:rsidRDefault="00A41583" w:rsidP="00A41583">
      <w:pPr>
        <w:rPr>
          <w:b/>
          <w:color w:val="000000" w:themeColor="text1"/>
        </w:rPr>
      </w:pPr>
      <w:r w:rsidRPr="00DA020B">
        <w:rPr>
          <w:b/>
          <w:color w:val="000000" w:themeColor="text1"/>
        </w:rPr>
        <w:t>Michel Jonquières</w:t>
      </w:r>
    </w:p>
    <w:p w14:paraId="261DF446" w14:textId="6B60FE09" w:rsidR="00A41583" w:rsidRPr="00A41583" w:rsidRDefault="00DB765C" w:rsidP="00A41583">
      <w:pPr>
        <w:rPr>
          <w:color w:val="000000" w:themeColor="text1"/>
        </w:rPr>
      </w:pPr>
      <w:r>
        <w:rPr>
          <w:color w:val="000000" w:themeColor="text1"/>
        </w:rPr>
        <w:t>Mars 2017</w:t>
      </w:r>
    </w:p>
    <w:p w14:paraId="5B0F2A2F" w14:textId="77777777" w:rsidR="00285D18" w:rsidRDefault="00285D18" w:rsidP="00285D18">
      <w:pPr>
        <w:rPr>
          <w:color w:val="000000" w:themeColor="text1"/>
        </w:rPr>
      </w:pPr>
    </w:p>
    <w:p w14:paraId="6FD23B4B" w14:textId="77777777" w:rsidR="00285D18" w:rsidRPr="00285D18" w:rsidRDefault="00285D18" w:rsidP="00285D18">
      <w:pPr>
        <w:rPr>
          <w:color w:val="000000" w:themeColor="text1"/>
        </w:rPr>
      </w:pPr>
    </w:p>
    <w:p w14:paraId="3C8A02E5" w14:textId="14677F84" w:rsidR="00E56626" w:rsidRPr="008B69B6" w:rsidRDefault="00E56626" w:rsidP="008B69B6">
      <w:pPr>
        <w:rPr>
          <w:color w:val="000000" w:themeColor="text1"/>
        </w:rPr>
      </w:pPr>
      <w:r>
        <w:rPr>
          <w:color w:val="000000" w:themeColor="text1"/>
        </w:rPr>
        <w:t xml:space="preserve"> </w:t>
      </w:r>
    </w:p>
    <w:sectPr w:rsidR="00E56626" w:rsidRPr="008B69B6" w:rsidSect="00505B11">
      <w:type w:val="continuous"/>
      <w:pgSz w:w="11900" w:h="16840"/>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95C37" w14:textId="77777777" w:rsidR="00CE4B0B" w:rsidRDefault="00CE4B0B" w:rsidP="00AB4D4C">
      <w:r>
        <w:separator/>
      </w:r>
    </w:p>
  </w:endnote>
  <w:endnote w:type="continuationSeparator" w:id="0">
    <w:p w14:paraId="42F600FA" w14:textId="77777777" w:rsidR="00CE4B0B" w:rsidRDefault="00CE4B0B" w:rsidP="00AB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928F" w14:textId="77777777" w:rsidR="00E032DC" w:rsidRDefault="00E032DC" w:rsidP="00241B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BC6FC4" w14:textId="77777777" w:rsidR="00E032DC" w:rsidRDefault="00E032DC" w:rsidP="00AB4D4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D175" w14:textId="77777777" w:rsidR="00E032DC" w:rsidRDefault="00E032DC" w:rsidP="00241BF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11FE6">
      <w:rPr>
        <w:rStyle w:val="Numrodepage"/>
        <w:noProof/>
      </w:rPr>
      <w:t>10</w:t>
    </w:r>
    <w:r>
      <w:rPr>
        <w:rStyle w:val="Numrodepage"/>
      </w:rPr>
      <w:fldChar w:fldCharType="end"/>
    </w:r>
  </w:p>
  <w:p w14:paraId="17A19D00" w14:textId="77777777" w:rsidR="00E032DC" w:rsidRDefault="00E032DC" w:rsidP="00AB4D4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BE89B" w14:textId="77777777" w:rsidR="00CE4B0B" w:rsidRDefault="00CE4B0B" w:rsidP="00AB4D4C">
      <w:r>
        <w:separator/>
      </w:r>
    </w:p>
  </w:footnote>
  <w:footnote w:type="continuationSeparator" w:id="0">
    <w:p w14:paraId="136C6481" w14:textId="77777777" w:rsidR="00CE4B0B" w:rsidRDefault="00CE4B0B" w:rsidP="00AB4D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753"/>
    <w:multiLevelType w:val="hybridMultilevel"/>
    <w:tmpl w:val="F2C2B3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60C80"/>
    <w:multiLevelType w:val="hybridMultilevel"/>
    <w:tmpl w:val="40209E14"/>
    <w:lvl w:ilvl="0" w:tplc="C3ECB74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2C4E47"/>
    <w:multiLevelType w:val="hybridMultilevel"/>
    <w:tmpl w:val="A5CCF8C2"/>
    <w:lvl w:ilvl="0" w:tplc="E778AAE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77B8A"/>
    <w:multiLevelType w:val="hybridMultilevel"/>
    <w:tmpl w:val="42ECD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CB1C70"/>
    <w:multiLevelType w:val="hybridMultilevel"/>
    <w:tmpl w:val="6EBA3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AD2913"/>
    <w:multiLevelType w:val="hybridMultilevel"/>
    <w:tmpl w:val="D9CE6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137011"/>
    <w:multiLevelType w:val="hybridMultilevel"/>
    <w:tmpl w:val="268ACCE0"/>
    <w:lvl w:ilvl="0" w:tplc="4296EA34">
      <w:start w:val="1"/>
      <w:numFmt w:val="bullet"/>
      <w:lvlText w:val="•"/>
      <w:lvlJc w:val="left"/>
      <w:pPr>
        <w:tabs>
          <w:tab w:val="num" w:pos="720"/>
        </w:tabs>
        <w:ind w:left="720" w:hanging="360"/>
      </w:pPr>
      <w:rPr>
        <w:rFonts w:ascii="Arial" w:hAnsi="Arial" w:hint="default"/>
      </w:rPr>
    </w:lvl>
    <w:lvl w:ilvl="1" w:tplc="792028B4">
      <w:numFmt w:val="bullet"/>
      <w:lvlText w:val=""/>
      <w:lvlJc w:val="left"/>
      <w:pPr>
        <w:tabs>
          <w:tab w:val="num" w:pos="1440"/>
        </w:tabs>
        <w:ind w:left="1440" w:hanging="360"/>
      </w:pPr>
      <w:rPr>
        <w:rFonts w:ascii="Wingdings" w:hAnsi="Wingdings" w:hint="default"/>
      </w:rPr>
    </w:lvl>
    <w:lvl w:ilvl="2" w:tplc="0AFCEBA0" w:tentative="1">
      <w:start w:val="1"/>
      <w:numFmt w:val="bullet"/>
      <w:lvlText w:val="•"/>
      <w:lvlJc w:val="left"/>
      <w:pPr>
        <w:tabs>
          <w:tab w:val="num" w:pos="2160"/>
        </w:tabs>
        <w:ind w:left="2160" w:hanging="360"/>
      </w:pPr>
      <w:rPr>
        <w:rFonts w:ascii="Arial" w:hAnsi="Arial" w:hint="default"/>
      </w:rPr>
    </w:lvl>
    <w:lvl w:ilvl="3" w:tplc="ED546A7A" w:tentative="1">
      <w:start w:val="1"/>
      <w:numFmt w:val="bullet"/>
      <w:lvlText w:val="•"/>
      <w:lvlJc w:val="left"/>
      <w:pPr>
        <w:tabs>
          <w:tab w:val="num" w:pos="2880"/>
        </w:tabs>
        <w:ind w:left="2880" w:hanging="360"/>
      </w:pPr>
      <w:rPr>
        <w:rFonts w:ascii="Arial" w:hAnsi="Arial" w:hint="default"/>
      </w:rPr>
    </w:lvl>
    <w:lvl w:ilvl="4" w:tplc="445AA4D4" w:tentative="1">
      <w:start w:val="1"/>
      <w:numFmt w:val="bullet"/>
      <w:lvlText w:val="•"/>
      <w:lvlJc w:val="left"/>
      <w:pPr>
        <w:tabs>
          <w:tab w:val="num" w:pos="3600"/>
        </w:tabs>
        <w:ind w:left="3600" w:hanging="360"/>
      </w:pPr>
      <w:rPr>
        <w:rFonts w:ascii="Arial" w:hAnsi="Arial" w:hint="default"/>
      </w:rPr>
    </w:lvl>
    <w:lvl w:ilvl="5" w:tplc="EA427EA2" w:tentative="1">
      <w:start w:val="1"/>
      <w:numFmt w:val="bullet"/>
      <w:lvlText w:val="•"/>
      <w:lvlJc w:val="left"/>
      <w:pPr>
        <w:tabs>
          <w:tab w:val="num" w:pos="4320"/>
        </w:tabs>
        <w:ind w:left="4320" w:hanging="360"/>
      </w:pPr>
      <w:rPr>
        <w:rFonts w:ascii="Arial" w:hAnsi="Arial" w:hint="default"/>
      </w:rPr>
    </w:lvl>
    <w:lvl w:ilvl="6" w:tplc="9DD0B85E" w:tentative="1">
      <w:start w:val="1"/>
      <w:numFmt w:val="bullet"/>
      <w:lvlText w:val="•"/>
      <w:lvlJc w:val="left"/>
      <w:pPr>
        <w:tabs>
          <w:tab w:val="num" w:pos="5040"/>
        </w:tabs>
        <w:ind w:left="5040" w:hanging="360"/>
      </w:pPr>
      <w:rPr>
        <w:rFonts w:ascii="Arial" w:hAnsi="Arial" w:hint="default"/>
      </w:rPr>
    </w:lvl>
    <w:lvl w:ilvl="7" w:tplc="9A564B2C" w:tentative="1">
      <w:start w:val="1"/>
      <w:numFmt w:val="bullet"/>
      <w:lvlText w:val="•"/>
      <w:lvlJc w:val="left"/>
      <w:pPr>
        <w:tabs>
          <w:tab w:val="num" w:pos="5760"/>
        </w:tabs>
        <w:ind w:left="5760" w:hanging="360"/>
      </w:pPr>
      <w:rPr>
        <w:rFonts w:ascii="Arial" w:hAnsi="Arial" w:hint="default"/>
      </w:rPr>
    </w:lvl>
    <w:lvl w:ilvl="8" w:tplc="340AD1B8" w:tentative="1">
      <w:start w:val="1"/>
      <w:numFmt w:val="bullet"/>
      <w:lvlText w:val="•"/>
      <w:lvlJc w:val="left"/>
      <w:pPr>
        <w:tabs>
          <w:tab w:val="num" w:pos="6480"/>
        </w:tabs>
        <w:ind w:left="6480" w:hanging="360"/>
      </w:pPr>
      <w:rPr>
        <w:rFonts w:ascii="Arial" w:hAnsi="Arial" w:hint="default"/>
      </w:rPr>
    </w:lvl>
  </w:abstractNum>
  <w:abstractNum w:abstractNumId="7">
    <w:nsid w:val="65997702"/>
    <w:multiLevelType w:val="hybridMultilevel"/>
    <w:tmpl w:val="AAB2D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5D59E4"/>
    <w:multiLevelType w:val="hybridMultilevel"/>
    <w:tmpl w:val="0C20A082"/>
    <w:lvl w:ilvl="0" w:tplc="29785584">
      <w:numFmt w:val="bullet"/>
      <w:lvlText w:val="-"/>
      <w:lvlJc w:val="left"/>
      <w:pPr>
        <w:ind w:left="720" w:hanging="360"/>
      </w:pPr>
      <w:rPr>
        <w:rFonts w:ascii="Cambria" w:eastAsia="ＭＳ 明朝" w:hAnsi="Cambria"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300765"/>
    <w:multiLevelType w:val="hybridMultilevel"/>
    <w:tmpl w:val="CD3AAD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0630DA"/>
    <w:multiLevelType w:val="hybridMultilevel"/>
    <w:tmpl w:val="C3307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CE70DD"/>
    <w:multiLevelType w:val="hybridMultilevel"/>
    <w:tmpl w:val="3F1EB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CB2865"/>
    <w:multiLevelType w:val="hybridMultilevel"/>
    <w:tmpl w:val="E62A8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9D41D7F"/>
    <w:multiLevelType w:val="multilevel"/>
    <w:tmpl w:val="040C001D"/>
    <w:styleLink w:val="PUCE1"/>
    <w:lvl w:ilvl="0">
      <w:start w:val="1"/>
      <w:numFmt w:val="bullet"/>
      <w:lvlText w:val=""/>
      <w:lvlJc w:val="left"/>
      <w:pPr>
        <w:ind w:left="360" w:hanging="360"/>
      </w:pPr>
      <w:rPr>
        <w:rFonts w:ascii="Symbol" w:hAnsi="Symbo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A317B76"/>
    <w:multiLevelType w:val="hybridMultilevel"/>
    <w:tmpl w:val="A280A2F6"/>
    <w:lvl w:ilvl="0" w:tplc="F822D4E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C95381A"/>
    <w:multiLevelType w:val="hybridMultilevel"/>
    <w:tmpl w:val="E8103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92035F"/>
    <w:multiLevelType w:val="hybridMultilevel"/>
    <w:tmpl w:val="00424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6"/>
  </w:num>
  <w:num w:numId="5">
    <w:abstractNumId w:val="5"/>
  </w:num>
  <w:num w:numId="6">
    <w:abstractNumId w:val="7"/>
  </w:num>
  <w:num w:numId="7">
    <w:abstractNumId w:val="3"/>
  </w:num>
  <w:num w:numId="8">
    <w:abstractNumId w:val="15"/>
  </w:num>
  <w:num w:numId="9">
    <w:abstractNumId w:val="12"/>
  </w:num>
  <w:num w:numId="10">
    <w:abstractNumId w:val="10"/>
  </w:num>
  <w:num w:numId="11">
    <w:abstractNumId w:val="4"/>
  </w:num>
  <w:num w:numId="12">
    <w:abstractNumId w:val="0"/>
  </w:num>
  <w:num w:numId="13">
    <w:abstractNumId w:val="2"/>
  </w:num>
  <w:num w:numId="14">
    <w:abstractNumId w:val="8"/>
  </w:num>
  <w:num w:numId="15">
    <w:abstractNumId w:val="6"/>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11"/>
    <w:rsid w:val="00011041"/>
    <w:rsid w:val="0001425B"/>
    <w:rsid w:val="00015D7F"/>
    <w:rsid w:val="00024964"/>
    <w:rsid w:val="00032B57"/>
    <w:rsid w:val="000403C0"/>
    <w:rsid w:val="000465A9"/>
    <w:rsid w:val="0005065A"/>
    <w:rsid w:val="000620FB"/>
    <w:rsid w:val="00070BD1"/>
    <w:rsid w:val="000839F7"/>
    <w:rsid w:val="00093BD4"/>
    <w:rsid w:val="000A0F0F"/>
    <w:rsid w:val="000A653B"/>
    <w:rsid w:val="000C54D2"/>
    <w:rsid w:val="000E182D"/>
    <w:rsid w:val="000E6767"/>
    <w:rsid w:val="000F4DF4"/>
    <w:rsid w:val="000F5DD2"/>
    <w:rsid w:val="00110543"/>
    <w:rsid w:val="00110CA8"/>
    <w:rsid w:val="00110DD1"/>
    <w:rsid w:val="00151C7C"/>
    <w:rsid w:val="00173281"/>
    <w:rsid w:val="00175192"/>
    <w:rsid w:val="001A3092"/>
    <w:rsid w:val="001A63B3"/>
    <w:rsid w:val="001A64EE"/>
    <w:rsid w:val="001B2865"/>
    <w:rsid w:val="001B4135"/>
    <w:rsid w:val="001D05A1"/>
    <w:rsid w:val="001D0E6B"/>
    <w:rsid w:val="001D20C7"/>
    <w:rsid w:val="001F5170"/>
    <w:rsid w:val="00207C4C"/>
    <w:rsid w:val="002133A5"/>
    <w:rsid w:val="00241BFF"/>
    <w:rsid w:val="00255AA2"/>
    <w:rsid w:val="00261C0F"/>
    <w:rsid w:val="00262495"/>
    <w:rsid w:val="002740B6"/>
    <w:rsid w:val="00280862"/>
    <w:rsid w:val="00285D18"/>
    <w:rsid w:val="002863B5"/>
    <w:rsid w:val="002A0724"/>
    <w:rsid w:val="002C6C97"/>
    <w:rsid w:val="002E7AB4"/>
    <w:rsid w:val="003074EC"/>
    <w:rsid w:val="00321C0E"/>
    <w:rsid w:val="00336D6B"/>
    <w:rsid w:val="00384C20"/>
    <w:rsid w:val="003A5B47"/>
    <w:rsid w:val="003B3D1B"/>
    <w:rsid w:val="003C3F84"/>
    <w:rsid w:val="003C60FE"/>
    <w:rsid w:val="003E3D86"/>
    <w:rsid w:val="004257C1"/>
    <w:rsid w:val="00434DF2"/>
    <w:rsid w:val="00445B94"/>
    <w:rsid w:val="004468B8"/>
    <w:rsid w:val="004544CE"/>
    <w:rsid w:val="00464FCC"/>
    <w:rsid w:val="004766DC"/>
    <w:rsid w:val="004867C0"/>
    <w:rsid w:val="004935A8"/>
    <w:rsid w:val="004B0F0D"/>
    <w:rsid w:val="004C687A"/>
    <w:rsid w:val="004D56A2"/>
    <w:rsid w:val="004E3E88"/>
    <w:rsid w:val="004F178C"/>
    <w:rsid w:val="00501350"/>
    <w:rsid w:val="00505B11"/>
    <w:rsid w:val="00506C33"/>
    <w:rsid w:val="00513538"/>
    <w:rsid w:val="00527584"/>
    <w:rsid w:val="0054036D"/>
    <w:rsid w:val="0054519A"/>
    <w:rsid w:val="00561F32"/>
    <w:rsid w:val="00591248"/>
    <w:rsid w:val="005A7620"/>
    <w:rsid w:val="005C074E"/>
    <w:rsid w:val="005E61FA"/>
    <w:rsid w:val="0060360A"/>
    <w:rsid w:val="006079B4"/>
    <w:rsid w:val="00617A8A"/>
    <w:rsid w:val="00646F80"/>
    <w:rsid w:val="00652657"/>
    <w:rsid w:val="006652BB"/>
    <w:rsid w:val="0068513B"/>
    <w:rsid w:val="0069378C"/>
    <w:rsid w:val="0069586B"/>
    <w:rsid w:val="006A44EC"/>
    <w:rsid w:val="006B2DEA"/>
    <w:rsid w:val="006B7ACC"/>
    <w:rsid w:val="006D20A4"/>
    <w:rsid w:val="006D3C73"/>
    <w:rsid w:val="006D7386"/>
    <w:rsid w:val="006F48D1"/>
    <w:rsid w:val="0071484D"/>
    <w:rsid w:val="00727F51"/>
    <w:rsid w:val="00771FE2"/>
    <w:rsid w:val="007B2740"/>
    <w:rsid w:val="007C118E"/>
    <w:rsid w:val="007D2CC7"/>
    <w:rsid w:val="007F5A88"/>
    <w:rsid w:val="008113D6"/>
    <w:rsid w:val="00811FE6"/>
    <w:rsid w:val="00814BFD"/>
    <w:rsid w:val="00831DD9"/>
    <w:rsid w:val="008562B9"/>
    <w:rsid w:val="008826AD"/>
    <w:rsid w:val="00887704"/>
    <w:rsid w:val="0089387A"/>
    <w:rsid w:val="008A63AC"/>
    <w:rsid w:val="008B0A4C"/>
    <w:rsid w:val="008B69B6"/>
    <w:rsid w:val="00911DB4"/>
    <w:rsid w:val="0092105B"/>
    <w:rsid w:val="00921FF7"/>
    <w:rsid w:val="00930B4D"/>
    <w:rsid w:val="00930DA1"/>
    <w:rsid w:val="009358F6"/>
    <w:rsid w:val="009452E9"/>
    <w:rsid w:val="00963110"/>
    <w:rsid w:val="009719C4"/>
    <w:rsid w:val="00974220"/>
    <w:rsid w:val="00975554"/>
    <w:rsid w:val="00980153"/>
    <w:rsid w:val="00984024"/>
    <w:rsid w:val="009842D0"/>
    <w:rsid w:val="00990358"/>
    <w:rsid w:val="009D02B8"/>
    <w:rsid w:val="009D1732"/>
    <w:rsid w:val="009D3A89"/>
    <w:rsid w:val="009E1FBE"/>
    <w:rsid w:val="009E693E"/>
    <w:rsid w:val="009F0FAF"/>
    <w:rsid w:val="00A12E2C"/>
    <w:rsid w:val="00A157AC"/>
    <w:rsid w:val="00A41583"/>
    <w:rsid w:val="00A42BA5"/>
    <w:rsid w:val="00A5096D"/>
    <w:rsid w:val="00A57952"/>
    <w:rsid w:val="00A6015B"/>
    <w:rsid w:val="00A64C6E"/>
    <w:rsid w:val="00A81DC2"/>
    <w:rsid w:val="00A914C5"/>
    <w:rsid w:val="00AB4D4C"/>
    <w:rsid w:val="00AC578A"/>
    <w:rsid w:val="00AD2DCE"/>
    <w:rsid w:val="00AE081B"/>
    <w:rsid w:val="00AF0335"/>
    <w:rsid w:val="00B048C1"/>
    <w:rsid w:val="00B11BF6"/>
    <w:rsid w:val="00B2046F"/>
    <w:rsid w:val="00B2233D"/>
    <w:rsid w:val="00B30E18"/>
    <w:rsid w:val="00B53B5A"/>
    <w:rsid w:val="00B70A8C"/>
    <w:rsid w:val="00B83AD9"/>
    <w:rsid w:val="00BB6998"/>
    <w:rsid w:val="00BB78B4"/>
    <w:rsid w:val="00BC0A3B"/>
    <w:rsid w:val="00BC3377"/>
    <w:rsid w:val="00BE561A"/>
    <w:rsid w:val="00BF033F"/>
    <w:rsid w:val="00C01D57"/>
    <w:rsid w:val="00C27443"/>
    <w:rsid w:val="00C36B5C"/>
    <w:rsid w:val="00C37BB8"/>
    <w:rsid w:val="00C44F1D"/>
    <w:rsid w:val="00C710A0"/>
    <w:rsid w:val="00C735A0"/>
    <w:rsid w:val="00C83E49"/>
    <w:rsid w:val="00CA7B25"/>
    <w:rsid w:val="00CB299D"/>
    <w:rsid w:val="00CB6E94"/>
    <w:rsid w:val="00CC6107"/>
    <w:rsid w:val="00CD30DD"/>
    <w:rsid w:val="00CD5A01"/>
    <w:rsid w:val="00CE4B0B"/>
    <w:rsid w:val="00CF2E9D"/>
    <w:rsid w:val="00CF69A9"/>
    <w:rsid w:val="00D11370"/>
    <w:rsid w:val="00D20CD6"/>
    <w:rsid w:val="00D30F44"/>
    <w:rsid w:val="00D41F1A"/>
    <w:rsid w:val="00D62CAC"/>
    <w:rsid w:val="00D72106"/>
    <w:rsid w:val="00D777A1"/>
    <w:rsid w:val="00D92CD8"/>
    <w:rsid w:val="00DA020B"/>
    <w:rsid w:val="00DA11DF"/>
    <w:rsid w:val="00DA3009"/>
    <w:rsid w:val="00DB7415"/>
    <w:rsid w:val="00DB765C"/>
    <w:rsid w:val="00DD0148"/>
    <w:rsid w:val="00DD6856"/>
    <w:rsid w:val="00DE127E"/>
    <w:rsid w:val="00DF59AA"/>
    <w:rsid w:val="00E02010"/>
    <w:rsid w:val="00E032DC"/>
    <w:rsid w:val="00E063CC"/>
    <w:rsid w:val="00E1014A"/>
    <w:rsid w:val="00E11F10"/>
    <w:rsid w:val="00E24D92"/>
    <w:rsid w:val="00E33DFD"/>
    <w:rsid w:val="00E36813"/>
    <w:rsid w:val="00E43A72"/>
    <w:rsid w:val="00E45E7A"/>
    <w:rsid w:val="00E46851"/>
    <w:rsid w:val="00E47551"/>
    <w:rsid w:val="00E534CA"/>
    <w:rsid w:val="00E56626"/>
    <w:rsid w:val="00E65A40"/>
    <w:rsid w:val="00E65DFD"/>
    <w:rsid w:val="00E66581"/>
    <w:rsid w:val="00E66DF9"/>
    <w:rsid w:val="00E74E17"/>
    <w:rsid w:val="00E8243A"/>
    <w:rsid w:val="00E927CE"/>
    <w:rsid w:val="00EB4B72"/>
    <w:rsid w:val="00EB5F7A"/>
    <w:rsid w:val="00EC1AE8"/>
    <w:rsid w:val="00ED4D63"/>
    <w:rsid w:val="00ED71F6"/>
    <w:rsid w:val="00EF11FE"/>
    <w:rsid w:val="00EF214F"/>
    <w:rsid w:val="00EF34C1"/>
    <w:rsid w:val="00F11603"/>
    <w:rsid w:val="00F153D1"/>
    <w:rsid w:val="00F2797E"/>
    <w:rsid w:val="00F448CC"/>
    <w:rsid w:val="00F50296"/>
    <w:rsid w:val="00F80BE0"/>
    <w:rsid w:val="00F81427"/>
    <w:rsid w:val="00F94547"/>
    <w:rsid w:val="00FA3320"/>
    <w:rsid w:val="00FA7413"/>
    <w:rsid w:val="00FB05A8"/>
    <w:rsid w:val="00FC182D"/>
    <w:rsid w:val="00FC283C"/>
    <w:rsid w:val="00FD0C5F"/>
    <w:rsid w:val="00FD58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BA2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91248"/>
    <w:pPr>
      <w:keepNext/>
      <w:keepLines/>
      <w:spacing w:before="480" w:line="360" w:lineRule="auto"/>
      <w:outlineLvl w:val="0"/>
    </w:pPr>
    <w:rPr>
      <w:rFonts w:ascii="Times New Roman" w:eastAsiaTheme="majorEastAsia" w:hAnsi="Times New Roman" w:cstheme="majorBidi"/>
      <w:b/>
      <w:bCs/>
      <w:sz w:val="28"/>
      <w:szCs w:val="28"/>
      <w:vertAlign w:val="superscri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vue">
    <w:name w:val="Revue"/>
    <w:basedOn w:val="Policepardfaut"/>
    <w:uiPriority w:val="1"/>
    <w:qFormat/>
    <w:rsid w:val="00591248"/>
    <w:rPr>
      <w:rFonts w:ascii="Times New Roman" w:hAnsi="Times New Roman"/>
      <w:sz w:val="24"/>
    </w:rPr>
  </w:style>
  <w:style w:type="character" w:customStyle="1" w:styleId="Titre1Car">
    <w:name w:val="Titre 1 Car"/>
    <w:basedOn w:val="Policepardfaut"/>
    <w:link w:val="Titre1"/>
    <w:uiPriority w:val="9"/>
    <w:rsid w:val="00591248"/>
    <w:rPr>
      <w:rFonts w:ascii="Times New Roman" w:eastAsiaTheme="majorEastAsia" w:hAnsi="Times New Roman" w:cstheme="majorBidi"/>
      <w:b/>
      <w:bCs/>
      <w:sz w:val="28"/>
      <w:szCs w:val="28"/>
      <w:vertAlign w:val="superscript"/>
    </w:rPr>
  </w:style>
  <w:style w:type="paragraph" w:styleId="Pieddepage">
    <w:name w:val="footer"/>
    <w:basedOn w:val="Normal"/>
    <w:link w:val="PieddepageCar"/>
    <w:uiPriority w:val="99"/>
    <w:unhideWhenUsed/>
    <w:rsid w:val="00591248"/>
    <w:pPr>
      <w:tabs>
        <w:tab w:val="center" w:pos="4536"/>
        <w:tab w:val="right" w:pos="9072"/>
      </w:tabs>
      <w:spacing w:before="120" w:after="120"/>
    </w:pPr>
    <w:rPr>
      <w:rFonts w:ascii="Times New Roman" w:hAnsi="Times New Roman"/>
      <w:sz w:val="18"/>
    </w:rPr>
  </w:style>
  <w:style w:type="character" w:customStyle="1" w:styleId="PieddepageCar">
    <w:name w:val="Pied de page Car"/>
    <w:basedOn w:val="Policepardfaut"/>
    <w:link w:val="Pieddepage"/>
    <w:uiPriority w:val="99"/>
    <w:rsid w:val="00591248"/>
    <w:rPr>
      <w:rFonts w:ascii="Times New Roman" w:hAnsi="Times New Roman"/>
      <w:sz w:val="18"/>
    </w:rPr>
  </w:style>
  <w:style w:type="numbering" w:customStyle="1" w:styleId="PUCE1">
    <w:name w:val="PUCE 1"/>
    <w:basedOn w:val="Aucuneliste"/>
    <w:uiPriority w:val="99"/>
    <w:rsid w:val="004766DC"/>
    <w:pPr>
      <w:numPr>
        <w:numId w:val="1"/>
      </w:numPr>
    </w:pPr>
  </w:style>
  <w:style w:type="paragraph" w:styleId="Pardeliste">
    <w:name w:val="List Paragraph"/>
    <w:basedOn w:val="Normal"/>
    <w:uiPriority w:val="34"/>
    <w:qFormat/>
    <w:rsid w:val="00505B11"/>
    <w:pPr>
      <w:ind w:left="720"/>
      <w:contextualSpacing/>
    </w:pPr>
  </w:style>
  <w:style w:type="character" w:styleId="Lienhypertexte">
    <w:name w:val="Hyperlink"/>
    <w:basedOn w:val="Policepardfaut"/>
    <w:uiPriority w:val="99"/>
    <w:unhideWhenUsed/>
    <w:rsid w:val="00C01D57"/>
    <w:rPr>
      <w:color w:val="0000FF" w:themeColor="hyperlink"/>
      <w:u w:val="single"/>
    </w:rPr>
  </w:style>
  <w:style w:type="character" w:styleId="Marquedecommentaire">
    <w:name w:val="annotation reference"/>
    <w:basedOn w:val="Policepardfaut"/>
    <w:uiPriority w:val="99"/>
    <w:semiHidden/>
    <w:unhideWhenUsed/>
    <w:rsid w:val="00DA020B"/>
    <w:rPr>
      <w:sz w:val="18"/>
      <w:szCs w:val="18"/>
    </w:rPr>
  </w:style>
  <w:style w:type="paragraph" w:styleId="Commentaire">
    <w:name w:val="annotation text"/>
    <w:basedOn w:val="Normal"/>
    <w:link w:val="CommentaireCar"/>
    <w:uiPriority w:val="99"/>
    <w:semiHidden/>
    <w:unhideWhenUsed/>
    <w:rsid w:val="00DA020B"/>
  </w:style>
  <w:style w:type="character" w:customStyle="1" w:styleId="CommentaireCar">
    <w:name w:val="Commentaire Car"/>
    <w:basedOn w:val="Policepardfaut"/>
    <w:link w:val="Commentaire"/>
    <w:uiPriority w:val="99"/>
    <w:semiHidden/>
    <w:rsid w:val="00DA020B"/>
  </w:style>
  <w:style w:type="paragraph" w:styleId="Objetducommentaire">
    <w:name w:val="annotation subject"/>
    <w:basedOn w:val="Commentaire"/>
    <w:next w:val="Commentaire"/>
    <w:link w:val="ObjetducommentaireCar"/>
    <w:uiPriority w:val="99"/>
    <w:semiHidden/>
    <w:unhideWhenUsed/>
    <w:rsid w:val="00DA020B"/>
    <w:rPr>
      <w:b/>
      <w:bCs/>
      <w:sz w:val="20"/>
      <w:szCs w:val="20"/>
    </w:rPr>
  </w:style>
  <w:style w:type="character" w:customStyle="1" w:styleId="ObjetducommentaireCar">
    <w:name w:val="Objet du commentaire Car"/>
    <w:basedOn w:val="CommentaireCar"/>
    <w:link w:val="Objetducommentaire"/>
    <w:uiPriority w:val="99"/>
    <w:semiHidden/>
    <w:rsid w:val="00DA020B"/>
    <w:rPr>
      <w:b/>
      <w:bCs/>
      <w:sz w:val="20"/>
      <w:szCs w:val="20"/>
    </w:rPr>
  </w:style>
  <w:style w:type="paragraph" w:styleId="Textedebulles">
    <w:name w:val="Balloon Text"/>
    <w:basedOn w:val="Normal"/>
    <w:link w:val="TextedebullesCar"/>
    <w:uiPriority w:val="99"/>
    <w:semiHidden/>
    <w:unhideWhenUsed/>
    <w:rsid w:val="00DA020B"/>
    <w:rPr>
      <w:rFonts w:ascii="Lucida Grande" w:hAnsi="Lucida Grande"/>
      <w:sz w:val="18"/>
      <w:szCs w:val="18"/>
    </w:rPr>
  </w:style>
  <w:style w:type="character" w:customStyle="1" w:styleId="TextedebullesCar">
    <w:name w:val="Texte de bulles Car"/>
    <w:basedOn w:val="Policepardfaut"/>
    <w:link w:val="Textedebulles"/>
    <w:uiPriority w:val="99"/>
    <w:semiHidden/>
    <w:rsid w:val="00DA020B"/>
    <w:rPr>
      <w:rFonts w:ascii="Lucida Grande" w:hAnsi="Lucida Grande"/>
      <w:sz w:val="18"/>
      <w:szCs w:val="18"/>
    </w:rPr>
  </w:style>
  <w:style w:type="character" w:styleId="Numrodepage">
    <w:name w:val="page number"/>
    <w:basedOn w:val="Policepardfaut"/>
    <w:uiPriority w:val="99"/>
    <w:semiHidden/>
    <w:unhideWhenUsed/>
    <w:rsid w:val="00AB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96530">
      <w:bodyDiv w:val="1"/>
      <w:marLeft w:val="0"/>
      <w:marRight w:val="0"/>
      <w:marTop w:val="0"/>
      <w:marBottom w:val="0"/>
      <w:divBdr>
        <w:top w:val="none" w:sz="0" w:space="0" w:color="auto"/>
        <w:left w:val="none" w:sz="0" w:space="0" w:color="auto"/>
        <w:bottom w:val="none" w:sz="0" w:space="0" w:color="auto"/>
        <w:right w:val="none" w:sz="0" w:space="0" w:color="auto"/>
      </w:divBdr>
    </w:div>
    <w:div w:id="1695962708">
      <w:bodyDiv w:val="1"/>
      <w:marLeft w:val="0"/>
      <w:marRight w:val="0"/>
      <w:marTop w:val="0"/>
      <w:marBottom w:val="0"/>
      <w:divBdr>
        <w:top w:val="none" w:sz="0" w:space="0" w:color="auto"/>
        <w:left w:val="none" w:sz="0" w:space="0" w:color="auto"/>
        <w:bottom w:val="none" w:sz="0" w:space="0" w:color="auto"/>
        <w:right w:val="none" w:sz="0" w:space="0" w:color="auto"/>
      </w:divBdr>
      <w:divsChild>
        <w:div w:id="69279844">
          <w:marLeft w:val="547"/>
          <w:marRight w:val="0"/>
          <w:marTop w:val="400"/>
          <w:marBottom w:val="0"/>
          <w:divBdr>
            <w:top w:val="none" w:sz="0" w:space="0" w:color="auto"/>
            <w:left w:val="none" w:sz="0" w:space="0" w:color="auto"/>
            <w:bottom w:val="none" w:sz="0" w:space="0" w:color="auto"/>
            <w:right w:val="none" w:sz="0" w:space="0" w:color="auto"/>
          </w:divBdr>
        </w:div>
        <w:div w:id="787967937">
          <w:marLeft w:val="1541"/>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strategie.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9B78-750A-B849-9752-27FA99C0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3470</Words>
  <Characters>19088</Characters>
  <Application>Microsoft Macintosh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POTTEVIN</dc:creator>
  <cp:keywords/>
  <dc:description/>
  <cp:lastModifiedBy>Chantal JONQUIERES</cp:lastModifiedBy>
  <cp:revision>4</cp:revision>
  <cp:lastPrinted>2017-03-22T15:45:00Z</cp:lastPrinted>
  <dcterms:created xsi:type="dcterms:W3CDTF">2017-03-28T16:33:00Z</dcterms:created>
  <dcterms:modified xsi:type="dcterms:W3CDTF">2017-03-28T16:44:00Z</dcterms:modified>
</cp:coreProperties>
</file>